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F8E2" w14:textId="77777777" w:rsidR="00580E51" w:rsidRDefault="009A153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Rasa" w:eastAsia="Rasa" w:hAnsi="Rasa" w:cs="Rasa"/>
          <w:color w:val="071D49"/>
          <w:sz w:val="24"/>
          <w:szCs w:val="24"/>
        </w:rPr>
        <w:t>Comunicato stampa</w:t>
      </w:r>
    </w:p>
    <w:p w14:paraId="5254CD9F" w14:textId="77777777" w:rsidR="006339B2" w:rsidRDefault="006339B2" w:rsidP="00F741F2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26D9457" w14:textId="379ED645" w:rsidR="00A8231F" w:rsidRPr="00A8231F" w:rsidRDefault="00A8231F" w:rsidP="00F741F2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A8231F">
        <w:rPr>
          <w:rFonts w:ascii="Calibri" w:eastAsia="Calibri" w:hAnsi="Calibri" w:cs="Calibri"/>
          <w:b/>
          <w:sz w:val="32"/>
          <w:szCs w:val="32"/>
        </w:rPr>
        <w:t xml:space="preserve">Imprese giovanili: 9 su 10 prevedono 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 w:rsidRPr="00A8231F">
        <w:rPr>
          <w:rFonts w:ascii="Calibri" w:eastAsia="Calibri" w:hAnsi="Calibri" w:cs="Calibri"/>
          <w:b/>
          <w:sz w:val="32"/>
          <w:szCs w:val="32"/>
        </w:rPr>
        <w:t>ecuper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 w:rsidRPr="00A8231F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de</w:t>
      </w:r>
      <w:r w:rsidRPr="00A8231F">
        <w:rPr>
          <w:rFonts w:ascii="Calibri" w:eastAsia="Calibri" w:hAnsi="Calibri" w:cs="Calibri"/>
          <w:b/>
          <w:sz w:val="32"/>
          <w:szCs w:val="32"/>
        </w:rPr>
        <w:t xml:space="preserve">i livelli </w:t>
      </w:r>
      <w:r w:rsidR="004044A3">
        <w:rPr>
          <w:rFonts w:ascii="Calibri" w:eastAsia="Calibri" w:hAnsi="Calibri" w:cs="Calibri"/>
          <w:b/>
          <w:sz w:val="32"/>
          <w:szCs w:val="32"/>
        </w:rPr>
        <w:t xml:space="preserve">produttivi </w:t>
      </w:r>
      <w:r w:rsidRPr="00A8231F">
        <w:rPr>
          <w:rFonts w:ascii="Calibri" w:eastAsia="Calibri" w:hAnsi="Calibri" w:cs="Calibri"/>
          <w:b/>
          <w:sz w:val="32"/>
          <w:szCs w:val="32"/>
        </w:rPr>
        <w:t>pre-Covid nel 2022</w:t>
      </w:r>
    </w:p>
    <w:p w14:paraId="447BE364" w14:textId="53FE2C59" w:rsidR="00580E51" w:rsidRPr="00A8231F" w:rsidRDefault="00A8231F" w:rsidP="00A8231F">
      <w:pPr>
        <w:spacing w:line="240" w:lineRule="auto"/>
        <w:jc w:val="center"/>
        <w:rPr>
          <w:rFonts w:ascii="Calibri" w:eastAsia="Calibri" w:hAnsi="Calibri" w:cs="Calibri"/>
          <w:bCs/>
          <w:sz w:val="32"/>
          <w:szCs w:val="32"/>
        </w:rPr>
      </w:pPr>
      <w:r w:rsidRPr="00A8231F">
        <w:rPr>
          <w:rFonts w:ascii="Calibri" w:eastAsia="Calibri" w:hAnsi="Calibri" w:cs="Calibri"/>
          <w:bCs/>
          <w:sz w:val="32"/>
          <w:szCs w:val="32"/>
        </w:rPr>
        <w:t>Una su quattro aumenterà il numero d</w:t>
      </w:r>
      <w:r w:rsidR="00F741F2">
        <w:rPr>
          <w:rFonts w:ascii="Calibri" w:eastAsia="Calibri" w:hAnsi="Calibri" w:cs="Calibri"/>
          <w:bCs/>
          <w:sz w:val="32"/>
          <w:szCs w:val="32"/>
        </w:rPr>
        <w:t>egli</w:t>
      </w:r>
      <w:r w:rsidRPr="00A8231F">
        <w:rPr>
          <w:rFonts w:ascii="Calibri" w:eastAsia="Calibri" w:hAnsi="Calibri" w:cs="Calibri"/>
          <w:bCs/>
          <w:sz w:val="32"/>
          <w:szCs w:val="32"/>
        </w:rPr>
        <w:t xml:space="preserve"> occupati</w:t>
      </w:r>
    </w:p>
    <w:p w14:paraId="6909E57C" w14:textId="77777777" w:rsidR="00A8231F" w:rsidRDefault="00A8231F" w:rsidP="00A8231F">
      <w:pPr>
        <w:spacing w:line="240" w:lineRule="auto"/>
        <w:jc w:val="both"/>
      </w:pPr>
    </w:p>
    <w:p w14:paraId="4566BB38" w14:textId="3A4E09D1" w:rsidR="00C1684F" w:rsidRDefault="00A8231F" w:rsidP="00C1684F">
      <w:pPr>
        <w:spacing w:line="240" w:lineRule="auto"/>
        <w:jc w:val="both"/>
      </w:pPr>
      <w:r>
        <w:t xml:space="preserve">Roma, </w:t>
      </w:r>
      <w:r w:rsidR="00851857">
        <w:t>1</w:t>
      </w:r>
      <w:r w:rsidR="00BD29DD">
        <w:t>3</w:t>
      </w:r>
      <w:r>
        <w:t xml:space="preserve"> </w:t>
      </w:r>
      <w:r w:rsidR="00851857">
        <w:t>maggio</w:t>
      </w:r>
      <w:r>
        <w:t xml:space="preserve"> 202</w:t>
      </w:r>
      <w:r w:rsidR="00851857">
        <w:t>2</w:t>
      </w:r>
      <w:r>
        <w:t xml:space="preserve"> – Le imprese giovanili sono più ottimiste sul futuro, assumono di più</w:t>
      </w:r>
      <w:r w:rsidR="0024753F">
        <w:t>,</w:t>
      </w:r>
      <w:r w:rsidR="004A10DF">
        <w:t xml:space="preserve"> </w:t>
      </w:r>
      <w:r>
        <w:t>investono di più sulla formazione</w:t>
      </w:r>
      <w:r w:rsidR="0024753F">
        <w:t xml:space="preserve"> e resistono meglio agli shock provocati dalla guerra russo-ucraina</w:t>
      </w:r>
      <w:r>
        <w:t xml:space="preserve">. Ma partono in ritardo nell’attivarsi sui progetti previsti dal Pnrr a supporto del mondo produttivo rispetto alle altre realtà imprenditoriali. </w:t>
      </w:r>
    </w:p>
    <w:p w14:paraId="20106CD0" w14:textId="77777777" w:rsidR="000F2CD1" w:rsidRDefault="00A8231F" w:rsidP="00A8231F">
      <w:pPr>
        <w:spacing w:line="240" w:lineRule="auto"/>
        <w:jc w:val="both"/>
      </w:pPr>
      <w:r>
        <w:t xml:space="preserve">L’86% delle imprese guidate da under 35 prevede quest’anno di ritornare ai livelli produttivi </w:t>
      </w:r>
      <w:r w:rsidRPr="003F0C41">
        <w:t>pre-Covid o addirittura di superarli, contro l’82</w:t>
      </w:r>
      <w:r w:rsidR="00EC2AAE" w:rsidRPr="003F0C41">
        <w:t>%</w:t>
      </w:r>
      <w:r w:rsidR="00086489" w:rsidRPr="003F0C41">
        <w:t xml:space="preserve"> </w:t>
      </w:r>
      <w:r w:rsidRPr="003F0C41">
        <w:t>di quelle non giovanili.</w:t>
      </w:r>
      <w:r w:rsidR="00B344C9" w:rsidRPr="003F0C41">
        <w:t xml:space="preserve"> </w:t>
      </w:r>
      <w:r w:rsidR="00642FEE" w:rsidRPr="003F0C41">
        <w:t xml:space="preserve">Anche perché ad oggi </w:t>
      </w:r>
      <w:r w:rsidR="00B344C9">
        <w:t>i giovani capitani di impres</w:t>
      </w:r>
      <w:r w:rsidR="00086489">
        <w:t>a</w:t>
      </w:r>
      <w:r w:rsidR="00E40C16">
        <w:t>,</w:t>
      </w:r>
      <w:r w:rsidR="008C1F52">
        <w:t xml:space="preserve"> più flessibili</w:t>
      </w:r>
      <w:r w:rsidR="00086489">
        <w:t xml:space="preserve"> </w:t>
      </w:r>
      <w:r w:rsidR="003012DE">
        <w:t xml:space="preserve">rispetto agli altri </w:t>
      </w:r>
      <w:r w:rsidR="008C1F52">
        <w:t xml:space="preserve">loro </w:t>
      </w:r>
      <w:r w:rsidR="003012DE">
        <w:t>colleghi</w:t>
      </w:r>
      <w:r w:rsidR="00E40C16">
        <w:t>,</w:t>
      </w:r>
      <w:r w:rsidR="003012DE">
        <w:t xml:space="preserve"> </w:t>
      </w:r>
      <w:r w:rsidR="00086489">
        <w:t>sono</w:t>
      </w:r>
      <w:r w:rsidR="00642FEE">
        <w:t xml:space="preserve"> meno </w:t>
      </w:r>
      <w:r w:rsidR="00086489">
        <w:t>colpiti</w:t>
      </w:r>
      <w:r w:rsidR="00642FEE">
        <w:t xml:space="preserve"> </w:t>
      </w:r>
      <w:r w:rsidR="00086489">
        <w:t>dall’aumento delle materie prime (</w:t>
      </w:r>
      <w:r w:rsidR="00642FEE">
        <w:t xml:space="preserve">l’82% </w:t>
      </w:r>
      <w:r w:rsidR="00086489">
        <w:t xml:space="preserve">contro l’86%) e dai problemi di approvvigionamento </w:t>
      </w:r>
      <w:r w:rsidR="003012DE">
        <w:t xml:space="preserve">connessi al loro reperimento </w:t>
      </w:r>
      <w:r w:rsidR="00086489">
        <w:t>(42% contro il 49%).</w:t>
      </w:r>
      <w:r w:rsidR="00E73203">
        <w:t xml:space="preserve"> Per questo </w:t>
      </w:r>
      <w:r>
        <w:t>il 25% stima un aumento delle assunzioni per il 2022 (contro il 21% delle altre</w:t>
      </w:r>
      <w:r w:rsidR="00E40C16">
        <w:t xml:space="preserve"> imprese</w:t>
      </w:r>
      <w:r>
        <w:t xml:space="preserve">). </w:t>
      </w:r>
    </w:p>
    <w:p w14:paraId="60EC5B72" w14:textId="77777777" w:rsidR="000F2CD1" w:rsidRDefault="000F2CD1" w:rsidP="00A8231F">
      <w:pPr>
        <w:spacing w:line="240" w:lineRule="auto"/>
        <w:jc w:val="both"/>
      </w:pPr>
    </w:p>
    <w:p w14:paraId="205D9A69" w14:textId="203A86A4" w:rsidR="004D633F" w:rsidRDefault="00BD29DD" w:rsidP="00A8231F">
      <w:pPr>
        <w:spacing w:line="240" w:lineRule="auto"/>
        <w:jc w:val="both"/>
      </w:pPr>
      <w:r>
        <w:t>È</w:t>
      </w:r>
      <w:r w:rsidR="00E73203">
        <w:t xml:space="preserve"> quanto emerge da un’indagine </w:t>
      </w:r>
      <w:r w:rsidR="00E73203" w:rsidRPr="00122946">
        <w:t xml:space="preserve">del </w:t>
      </w:r>
      <w:r w:rsidR="00E73203" w:rsidRPr="00C1684F">
        <w:rPr>
          <w:b/>
          <w:bCs/>
        </w:rPr>
        <w:t>Centro Studi Tagliacarne</w:t>
      </w:r>
      <w:r w:rsidR="00E73203" w:rsidRPr="00122946">
        <w:t xml:space="preserve"> svolta su un campione di 1.600 PMI manifatturiere tra 5 e 249 addetti</w:t>
      </w:r>
      <w:r w:rsidR="000F2CD1">
        <w:t>.</w:t>
      </w:r>
    </w:p>
    <w:p w14:paraId="559EDB88" w14:textId="77777777" w:rsidR="0046645B" w:rsidRDefault="0046645B" w:rsidP="00A8231F">
      <w:pPr>
        <w:spacing w:line="240" w:lineRule="auto"/>
        <w:jc w:val="both"/>
      </w:pPr>
    </w:p>
    <w:p w14:paraId="464CE4E4" w14:textId="386FB7ED" w:rsidR="00A8231F" w:rsidRDefault="000F2CD1" w:rsidP="00A8231F">
      <w:pPr>
        <w:spacing w:line="240" w:lineRule="auto"/>
        <w:jc w:val="both"/>
      </w:pPr>
      <w:r>
        <w:t>P</w:t>
      </w:r>
      <w:r w:rsidR="00A8231F">
        <w:t xml:space="preserve">er competere al meglio il 74% </w:t>
      </w:r>
      <w:r>
        <w:t xml:space="preserve">degli imprenditori under 35 </w:t>
      </w:r>
      <w:r w:rsidR="00A8231F">
        <w:t>punta ad investire nella formazione del capitale umano per sviluppare le competenze tecnico-professionali necessarie alla propria azienda nel triennio 2022-24 (contro il 71%</w:t>
      </w:r>
      <w:r w:rsidR="00ED608B">
        <w:t xml:space="preserve"> delle altre imprese</w:t>
      </w:r>
      <w:bookmarkStart w:id="0" w:name="_GoBack"/>
      <w:bookmarkEnd w:id="0"/>
      <w:r w:rsidR="00A8231F">
        <w:t>). Mentre per prepararsi a cavalcare la duplice transizione digitale ed ecologica il 36% degli imprenditori under 35 realizzerà investimenti formativi per rinnovare i propri modelli di business (contro il 31%).</w:t>
      </w:r>
      <w:r w:rsidR="004A10DF">
        <w:t xml:space="preserve"> </w:t>
      </w:r>
    </w:p>
    <w:p w14:paraId="0EF5C8EF" w14:textId="702717F2" w:rsidR="00A8231F" w:rsidRDefault="00A8231F" w:rsidP="00A8231F">
      <w:pPr>
        <w:spacing w:line="240" w:lineRule="auto"/>
        <w:jc w:val="both"/>
      </w:pPr>
      <w:r>
        <w:t xml:space="preserve">I giovani </w:t>
      </w:r>
      <w:r w:rsidR="00E40C16">
        <w:t xml:space="preserve">alla guida di </w:t>
      </w:r>
      <w:r w:rsidR="007034A1">
        <w:t>imprese</w:t>
      </w:r>
      <w:r w:rsidR="00F741F2">
        <w:t xml:space="preserve"> sono più avanti su diversi campi rispetto agli altri loro colleghi</w:t>
      </w:r>
      <w:r>
        <w:t>,</w:t>
      </w:r>
      <w:r w:rsidR="00F741F2">
        <w:t xml:space="preserve"> ma registrano un </w:t>
      </w:r>
      <w:r>
        <w:t xml:space="preserve">ritardo </w:t>
      </w:r>
      <w:r w:rsidR="00F741F2">
        <w:t>nel</w:t>
      </w:r>
      <w:r>
        <w:t xml:space="preserve"> cogliere le opportunità previste dal Piano nazionale di ripresa e resilienza: solo il 12% delle imprese giovanili si è già attivato rispetto al 19% di quelle non giovanili. </w:t>
      </w:r>
      <w:r w:rsidR="00F741F2">
        <w:t>Tuttavia</w:t>
      </w:r>
      <w:r w:rsidR="005F389A">
        <w:t>,</w:t>
      </w:r>
      <w:r>
        <w:t xml:space="preserve"> si stanno muovendo per recuperare terreno</w:t>
      </w:r>
      <w:r w:rsidRPr="00EC2AAE">
        <w:t>, nel 2022 il 14</w:t>
      </w:r>
      <w:r>
        <w:t>% delle imprese giovanili ha</w:t>
      </w:r>
      <w:r w:rsidR="00F741F2">
        <w:t>, infatti,</w:t>
      </w:r>
      <w:r>
        <w:t xml:space="preserve"> in programma di attivarsi, contro il 13%. </w:t>
      </w:r>
    </w:p>
    <w:p w14:paraId="062A44F5" w14:textId="77777777" w:rsidR="00A8231F" w:rsidRDefault="00A8231F" w:rsidP="00A8231F">
      <w:pPr>
        <w:spacing w:line="240" w:lineRule="auto"/>
        <w:jc w:val="both"/>
      </w:pPr>
    </w:p>
    <w:p w14:paraId="442653D0" w14:textId="4908C536" w:rsidR="00A8231F" w:rsidRDefault="00A8231F" w:rsidP="00A8231F">
      <w:pPr>
        <w:spacing w:line="240" w:lineRule="auto"/>
        <w:jc w:val="both"/>
      </w:pPr>
      <w:r>
        <w:t>“</w:t>
      </w:r>
      <w:r w:rsidR="002B1B51" w:rsidRPr="002B1B51">
        <w:t>Le imprese guidate da under 35 anni sono circa il 9% del</w:t>
      </w:r>
      <w:r w:rsidR="003211A4">
        <w:t>l’intero</w:t>
      </w:r>
      <w:r w:rsidR="002B1B51" w:rsidRPr="002B1B51">
        <w:t xml:space="preserve"> </w:t>
      </w:r>
      <w:r w:rsidR="003211A4">
        <w:t>sistema imprenditoriale</w:t>
      </w:r>
      <w:r w:rsidR="002B1B51" w:rsidRPr="002B1B51">
        <w:t>. Negli ultimi anni, anche per effetto delle trasformazioni che hanno interessato il mercato del lavoro, lo sbocco imprenditoriale è divenuto più selettivo</w:t>
      </w:r>
      <w:r w:rsidR="00082170">
        <w:t>”</w:t>
      </w:r>
      <w:r w:rsidR="002B1B51" w:rsidRPr="002B1B51">
        <w:t xml:space="preserve">. </w:t>
      </w:r>
      <w:r w:rsidR="00082170">
        <w:t xml:space="preserve">Lo sottolinea </w:t>
      </w:r>
      <w:r w:rsidR="00082170" w:rsidRPr="00F741F2">
        <w:rPr>
          <w:b/>
          <w:bCs/>
        </w:rPr>
        <w:t>Gaetano Fausto Esposito</w:t>
      </w:r>
      <w:r w:rsidR="00082170">
        <w:rPr>
          <w:b/>
          <w:bCs/>
        </w:rPr>
        <w:t>,</w:t>
      </w:r>
      <w:r w:rsidR="00082170" w:rsidRPr="00F741F2">
        <w:rPr>
          <w:b/>
          <w:bCs/>
        </w:rPr>
        <w:t xml:space="preserve"> direttore generale del Centro Studi Tagliacarne</w:t>
      </w:r>
      <w:r w:rsidR="00082170">
        <w:rPr>
          <w:b/>
          <w:bCs/>
        </w:rPr>
        <w:t xml:space="preserve">, </w:t>
      </w:r>
      <w:r w:rsidR="00082170" w:rsidRPr="00082170">
        <w:t>che aggiunge</w:t>
      </w:r>
      <w:r w:rsidR="00082170">
        <w:rPr>
          <w:b/>
          <w:bCs/>
        </w:rPr>
        <w:t xml:space="preserve"> </w:t>
      </w:r>
      <w:r w:rsidR="00082170">
        <w:t>“</w:t>
      </w:r>
      <w:r w:rsidR="002B1B51" w:rsidRPr="002B1B51">
        <w:t>l</w:t>
      </w:r>
      <w:r w:rsidR="007234DE">
        <w:t>a via dell’</w:t>
      </w:r>
      <w:r w:rsidR="002B1B51" w:rsidRPr="002B1B51">
        <w:t xml:space="preserve">imprenditoria </w:t>
      </w:r>
      <w:r w:rsidR="007234DE">
        <w:t xml:space="preserve">è sempre di più per </w:t>
      </w:r>
      <w:r w:rsidR="003211A4">
        <w:t xml:space="preserve">i giovani </w:t>
      </w:r>
      <w:r w:rsidR="007234DE">
        <w:t xml:space="preserve">frutto di </w:t>
      </w:r>
      <w:r w:rsidR="002B1B51" w:rsidRPr="002B1B51">
        <w:t>una scelta consapevole</w:t>
      </w:r>
      <w:r w:rsidR="007234DE">
        <w:t xml:space="preserve">, piuttosto che </w:t>
      </w:r>
      <w:r w:rsidR="007234DE" w:rsidRPr="002B1B51">
        <w:t>una sostanziale forma di auto impiego</w:t>
      </w:r>
      <w:r w:rsidR="007234DE">
        <w:t>,</w:t>
      </w:r>
      <w:r w:rsidR="002B1B51" w:rsidRPr="002B1B51">
        <w:t xml:space="preserve"> come è stato tante volte nel passato</w:t>
      </w:r>
      <w:r w:rsidR="007234DE">
        <w:t>”</w:t>
      </w:r>
      <w:r w:rsidR="002B1B51" w:rsidRPr="002B1B51">
        <w:t xml:space="preserve">. </w:t>
      </w:r>
      <w:r w:rsidR="007234DE">
        <w:t>“</w:t>
      </w:r>
      <w:r w:rsidR="002B1B51" w:rsidRPr="002B1B51">
        <w:t>L'imprenditore giovane</w:t>
      </w:r>
      <w:r w:rsidR="007234DE">
        <w:t xml:space="preserve">- evidenzia Esposito- </w:t>
      </w:r>
      <w:r w:rsidR="002B1B51" w:rsidRPr="002B1B51">
        <w:t>è più aperto ad attivare le opportunità del mercato e molto più sensibile all'utilizzo delle tecnologie digitali anche nei settori più tradizionali. Certo in questi casi</w:t>
      </w:r>
      <w:r w:rsidR="007234DE">
        <w:t xml:space="preserve"> l</w:t>
      </w:r>
      <w:r w:rsidR="002B1B51" w:rsidRPr="002B1B51">
        <w:t xml:space="preserve">a più ridotta dimensione dell'impresa </w:t>
      </w:r>
      <w:r w:rsidR="0046645B" w:rsidRPr="002B1B51">
        <w:t>neo</w:t>
      </w:r>
      <w:r w:rsidR="0046645B">
        <w:t>costituita</w:t>
      </w:r>
      <w:r w:rsidR="002B1B51" w:rsidRPr="002B1B51">
        <w:t xml:space="preserve"> richiede una maggiore attenzione delle policy per fornire un supporto di servizi necessari a</w:t>
      </w:r>
      <w:r w:rsidR="00D11F57">
        <w:t xml:space="preserve"> farla </w:t>
      </w:r>
      <w:r w:rsidR="002B1B51" w:rsidRPr="002B1B51">
        <w:t>cresc</w:t>
      </w:r>
      <w:r w:rsidR="00D11F57">
        <w:t>ere</w:t>
      </w:r>
      <w:r w:rsidR="002B1B51" w:rsidRPr="002B1B51">
        <w:t xml:space="preserve"> e</w:t>
      </w:r>
      <w:r w:rsidR="00D11F57">
        <w:t xml:space="preserve"> diventare più robusta</w:t>
      </w:r>
      <w:r>
        <w:t xml:space="preserve"> “ </w:t>
      </w:r>
    </w:p>
    <w:p w14:paraId="10C4620F" w14:textId="77777777" w:rsidR="00082170" w:rsidRPr="00AC3800" w:rsidRDefault="00082170" w:rsidP="00A8231F">
      <w:pPr>
        <w:spacing w:line="240" w:lineRule="auto"/>
        <w:jc w:val="both"/>
      </w:pPr>
    </w:p>
    <w:p w14:paraId="47328D96" w14:textId="6CBCA6FA" w:rsidR="00AC3800" w:rsidRDefault="00082170" w:rsidP="00A8231F">
      <w:pPr>
        <w:spacing w:line="240" w:lineRule="auto"/>
        <w:jc w:val="both"/>
        <w:rPr>
          <w:b/>
          <w:bCs/>
        </w:rPr>
      </w:pPr>
      <w:r>
        <w:rPr>
          <w:b/>
          <w:bCs/>
        </w:rPr>
        <w:t>4 imprese giovanili su 10 aperte all’alternanza scuola-lavoro</w:t>
      </w:r>
      <w:r w:rsidR="00AC3800">
        <w:rPr>
          <w:b/>
          <w:bCs/>
        </w:rPr>
        <w:t xml:space="preserve"> </w:t>
      </w:r>
    </w:p>
    <w:p w14:paraId="1C5EB3CB" w14:textId="782426AB" w:rsidR="0046645B" w:rsidRDefault="0046645B" w:rsidP="00A8231F">
      <w:pPr>
        <w:spacing w:line="240" w:lineRule="auto"/>
        <w:jc w:val="both"/>
        <w:rPr>
          <w:b/>
          <w:bCs/>
        </w:rPr>
      </w:pPr>
      <w:r>
        <w:t>La strategia di puntare sul miglioramento della qualità del proprio capitale umano all’interno</w:t>
      </w:r>
    </w:p>
    <w:p w14:paraId="10CA5864" w14:textId="1DEC699B" w:rsidR="00AC3800" w:rsidRDefault="00AC3800" w:rsidP="00A8231F">
      <w:pPr>
        <w:spacing w:line="240" w:lineRule="auto"/>
        <w:jc w:val="both"/>
        <w:rPr>
          <w:b/>
          <w:bCs/>
        </w:rPr>
      </w:pPr>
      <w:r>
        <w:lastRenderedPageBreak/>
        <w:t xml:space="preserve">dell’azienda porta i giovani imprenditori anche ad aprirsi maggiormente ai soggetti della </w:t>
      </w:r>
    </w:p>
    <w:p w14:paraId="3FB18082" w14:textId="5E7B7DF3" w:rsidR="00A8231F" w:rsidRDefault="00A8231F" w:rsidP="00A8231F">
      <w:pPr>
        <w:spacing w:line="240" w:lineRule="auto"/>
        <w:jc w:val="both"/>
      </w:pPr>
      <w:r>
        <w:t xml:space="preserve">conoscenza esterni all’impresa. </w:t>
      </w:r>
    </w:p>
    <w:p w14:paraId="179BDE96" w14:textId="7DD8EF2B" w:rsidR="00A8231F" w:rsidRDefault="00A8231F" w:rsidP="00A8231F">
      <w:pPr>
        <w:spacing w:line="240" w:lineRule="auto"/>
        <w:jc w:val="both"/>
      </w:pPr>
      <w:r>
        <w:t xml:space="preserve">Un’impresa giovanile su quattro si relaziona con Università e centri di ricerca per progetti di open innovation, che vanno dal trasferimento tecnologico alle iniziative di ricerca applicata- rispetto alle imprese non giovanili (20%). Più elevata appare pure la quota delle imprese giovanili che si </w:t>
      </w:r>
      <w:r w:rsidR="0007201A">
        <w:t>interfacciano</w:t>
      </w:r>
      <w:r>
        <w:t xml:space="preserve"> con il sistema scolastico per progetti di alternanza scuola-lavoro, stage, tirocini</w:t>
      </w:r>
      <w:r w:rsidR="0007201A">
        <w:t xml:space="preserve"> </w:t>
      </w:r>
      <w:r>
        <w:t>(39% vs 33%).</w:t>
      </w:r>
    </w:p>
    <w:p w14:paraId="51B6CE6C" w14:textId="77777777" w:rsidR="00A8231F" w:rsidRDefault="00A8231F" w:rsidP="00A8231F">
      <w:pPr>
        <w:spacing w:line="240" w:lineRule="auto"/>
        <w:jc w:val="both"/>
      </w:pPr>
    </w:p>
    <w:p w14:paraId="25B1F084" w14:textId="77777777" w:rsidR="00A8231F" w:rsidRDefault="00A8231F" w:rsidP="00A8231F">
      <w:pPr>
        <w:spacing w:line="240" w:lineRule="auto"/>
        <w:jc w:val="both"/>
      </w:pPr>
    </w:p>
    <w:p w14:paraId="3664C2BC" w14:textId="77777777" w:rsidR="00A8231F" w:rsidRPr="00644DA0" w:rsidRDefault="00A8231F" w:rsidP="00A8231F">
      <w:pPr>
        <w:spacing w:line="240" w:lineRule="auto"/>
        <w:jc w:val="both"/>
        <w:rPr>
          <w:b/>
          <w:bCs/>
        </w:rPr>
      </w:pPr>
      <w:r w:rsidRPr="00644DA0">
        <w:rPr>
          <w:b/>
          <w:bCs/>
        </w:rPr>
        <w:t xml:space="preserve">Effetto giovani imprenditori più forte nelle piccole imprese e nel Mezzogiorno </w:t>
      </w:r>
    </w:p>
    <w:p w14:paraId="528F6469" w14:textId="7F101438" w:rsidR="00A8231F" w:rsidRDefault="00C47BC3" w:rsidP="00A8231F">
      <w:pPr>
        <w:spacing w:line="240" w:lineRule="auto"/>
        <w:jc w:val="both"/>
      </w:pPr>
      <w:r>
        <w:t>A livello generazionale l</w:t>
      </w:r>
      <w:r w:rsidR="00A8231F">
        <w:t xml:space="preserve">a </w:t>
      </w:r>
      <w:r>
        <w:t xml:space="preserve">diversità di </w:t>
      </w:r>
      <w:r w:rsidR="00A8231F">
        <w:t xml:space="preserve">resilienza si fa sentire maggiormente </w:t>
      </w:r>
      <w:r w:rsidR="00644DA0">
        <w:t>n</w:t>
      </w:r>
      <w:r w:rsidR="00A8231F">
        <w:t>elle piccole realtà imprenditoriali, quelle che contano cioè un numero di addetti compres</w:t>
      </w:r>
      <w:r w:rsidR="00BD29DD">
        <w:t>o</w:t>
      </w:r>
      <w:r w:rsidR="00A8231F">
        <w:t xml:space="preserve"> tra i 5 e le 49 unità. L’86% delle imprese di piccole dimensioni capitanate da un under 35 prevede di recuperare o superare i livelli produttivi pre-Covid entro quest’anno contro l’80% delle non giovanili</w:t>
      </w:r>
      <w:r>
        <w:t xml:space="preserve">, mentre nelle medie imprese lo scarto tra generazioni di imprenditori è </w:t>
      </w:r>
      <w:r w:rsidR="00644DA0" w:rsidRPr="00C47BC3">
        <w:t xml:space="preserve">solo di due punti </w:t>
      </w:r>
      <w:r>
        <w:t xml:space="preserve">percentuali </w:t>
      </w:r>
      <w:r w:rsidR="00644DA0" w:rsidRPr="00C47BC3">
        <w:t>(8</w:t>
      </w:r>
      <w:r w:rsidR="00184EDF">
        <w:t>5</w:t>
      </w:r>
      <w:r w:rsidR="00644DA0" w:rsidRPr="00C47BC3">
        <w:t>% vs 8</w:t>
      </w:r>
      <w:r w:rsidR="00184EDF">
        <w:t>7</w:t>
      </w:r>
      <w:r w:rsidR="00644DA0" w:rsidRPr="00C47BC3">
        <w:t>%)</w:t>
      </w:r>
    </w:p>
    <w:p w14:paraId="620C003C" w14:textId="52A878D8" w:rsidR="00A8231F" w:rsidRDefault="00A8231F" w:rsidP="00A8231F">
      <w:pPr>
        <w:spacing w:line="240" w:lineRule="auto"/>
        <w:jc w:val="both"/>
      </w:pPr>
      <w:r>
        <w:t>Ma è soprattutto al Mezzogiorno che nel complesso le imprese guidate dai giovani rappresentano una spinta allo sviluppo. L’88% dei giovani imprenditori del Sud ritornerà quest’anno sugli stessi livelli produttivi pre-Covid o li supererà,</w:t>
      </w:r>
      <w:r w:rsidR="00C47BC3">
        <w:t xml:space="preserve"> rispetto</w:t>
      </w:r>
      <w:r>
        <w:t xml:space="preserve"> </w:t>
      </w:r>
      <w:r w:rsidR="00C47BC3">
        <w:t>al</w:t>
      </w:r>
      <w:r>
        <w:t>l’85% di quelli del Centro</w:t>
      </w:r>
      <w:r w:rsidR="00D71FC5">
        <w:t>-</w:t>
      </w:r>
      <w:r>
        <w:t>Nord.</w:t>
      </w:r>
    </w:p>
    <w:p w14:paraId="11337800" w14:textId="2590B609" w:rsidR="0007201A" w:rsidRDefault="00A8231F" w:rsidP="00A8231F">
      <w:pPr>
        <w:spacing w:line="240" w:lineRule="auto"/>
        <w:jc w:val="both"/>
      </w:pPr>
      <w:r>
        <w:t xml:space="preserve">L’effetto giovani </w:t>
      </w:r>
      <w:r w:rsidR="00C47BC3">
        <w:t>risulta</w:t>
      </w:r>
      <w:r>
        <w:t xml:space="preserve"> più </w:t>
      </w:r>
      <w:r w:rsidR="00C47BC3">
        <w:t>incisivo</w:t>
      </w:r>
      <w:r>
        <w:t xml:space="preserve"> tra le piccole imprese anche per gli investimenti in formazione del capitale umano </w:t>
      </w:r>
      <w:r w:rsidR="00C47BC3">
        <w:t>che si intendo</w:t>
      </w:r>
      <w:r w:rsidR="00913C0D">
        <w:t>no</w:t>
      </w:r>
      <w:r w:rsidR="00C47BC3">
        <w:t xml:space="preserve"> realizzare </w:t>
      </w:r>
      <w:r w:rsidR="00913C0D">
        <w:t xml:space="preserve">tra il 2022-24 </w:t>
      </w:r>
      <w:r>
        <w:t xml:space="preserve">per affrontare la sfida della duplice transizione green e digitale: il 32% delle imprese piccole giovanili prevede di investire per rinnovare i modelli di business </w:t>
      </w:r>
      <w:r w:rsidR="00913C0D">
        <w:t>(</w:t>
      </w:r>
      <w:r>
        <w:t xml:space="preserve">contro il 25% delle </w:t>
      </w:r>
      <w:r w:rsidR="00851ACB">
        <w:t xml:space="preserve">piccole </w:t>
      </w:r>
      <w:r w:rsidR="00913C0D">
        <w:t>over 35)</w:t>
      </w:r>
      <w:r>
        <w:t>. Una quota che sale al 4</w:t>
      </w:r>
      <w:r w:rsidR="00D71FC5">
        <w:t>6</w:t>
      </w:r>
      <w:r>
        <w:t>% al Mezzogiorno (contro il 3</w:t>
      </w:r>
      <w:r w:rsidR="00D71FC5">
        <w:t>6</w:t>
      </w:r>
      <w:r>
        <w:t>%).</w:t>
      </w:r>
    </w:p>
    <w:p w14:paraId="402A022A" w14:textId="6A873F48" w:rsidR="0007201A" w:rsidRDefault="00913C0D" w:rsidP="0007201A">
      <w:pPr>
        <w:spacing w:line="240" w:lineRule="auto"/>
        <w:jc w:val="both"/>
      </w:pPr>
      <w:r>
        <w:t xml:space="preserve">Più in generale, </w:t>
      </w:r>
      <w:r w:rsidR="0007201A">
        <w:t xml:space="preserve">i </w:t>
      </w:r>
      <w:r>
        <w:t xml:space="preserve">giovani </w:t>
      </w:r>
      <w:r w:rsidR="0007201A">
        <w:t>imprenditori di imprese nate negli ultimi 10 anni sono quelli che punteranno maggiormente nel digitale nei prossimi anni: il 50% di queste realtà guidate da giovani prevede di investire nelle tecnologie 4.0</w:t>
      </w:r>
      <w:r w:rsidRPr="00913C0D">
        <w:t xml:space="preserve"> </w:t>
      </w:r>
      <w:r>
        <w:t>tra il 2022 e il 2024</w:t>
      </w:r>
      <w:r w:rsidR="0007201A">
        <w:t xml:space="preserve">, contro il 43% di quelle </w:t>
      </w:r>
      <w:r>
        <w:t>non giovanili</w:t>
      </w:r>
      <w:r w:rsidR="0007201A">
        <w:t xml:space="preserve">. </w:t>
      </w:r>
    </w:p>
    <w:p w14:paraId="614AE8ED" w14:textId="6954B3A1" w:rsid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717C2584" w14:textId="42B826B9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DB26518" w14:textId="2FDD140D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4F56F164" w14:textId="55776BC8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616ECB6B" w14:textId="727EBA0F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02B4CAC3" w14:textId="6CD3514F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01E345EE" w14:textId="06FE7A2E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6BA1EB76" w14:textId="3DD2F9E8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61CA0123" w14:textId="1D9A7CF9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4AB92D74" w14:textId="3D11A28B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68957B72" w14:textId="49ADB328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7BEF134" w14:textId="63383267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7DF28370" w14:textId="5BA960B6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0BF01E3B" w14:textId="15C4776E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D268111" w14:textId="3932354E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5633B9CA" w14:textId="196B6D07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09B91BD5" w14:textId="77777777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3010145A" w14:textId="7F32E788" w:rsidR="003C1E68" w:rsidRP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 xml:space="preserve">Imprese che prevedono nel 2022 di ritornare/superare i livelli produttivi pre-Covid </w:t>
      </w:r>
    </w:p>
    <w:p w14:paraId="61FA4FE9" w14:textId="450C8E05" w:rsidR="0007201A" w:rsidRDefault="003C1E68" w:rsidP="00A8231F">
      <w:pPr>
        <w:spacing w:line="240" w:lineRule="auto"/>
        <w:jc w:val="both"/>
      </w:pPr>
      <w:r>
        <w:rPr>
          <w:noProof/>
          <w:lang w:val="it-IT"/>
        </w:rPr>
        <w:drawing>
          <wp:inline distT="0" distB="0" distL="0" distR="0" wp14:anchorId="5FCDAACD" wp14:editId="0F0934CD">
            <wp:extent cx="3600450" cy="1883184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78" cy="1887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1E68">
        <w:t xml:space="preserve"> </w:t>
      </w:r>
    </w:p>
    <w:p w14:paraId="0DB141A4" w14:textId="1D6DB119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 w:rsidRPr="003C1E68">
        <w:rPr>
          <w:rFonts w:asciiTheme="majorHAnsi" w:hAnsiTheme="majorHAnsi" w:cstheme="majorHAnsi"/>
          <w:i/>
          <w:iCs/>
          <w:sz w:val="18"/>
          <w:szCs w:val="18"/>
          <w:lang w:val="it-IT"/>
        </w:rPr>
        <w:t>Fonte: Indagine Centro Studi Guglielmo Tagliacarne - Unioncamere sulle PMI manifatturiere 5-249 addetti, 2022</w:t>
      </w:r>
    </w:p>
    <w:p w14:paraId="6C266AD5" w14:textId="77777777" w:rsidR="00E4001C" w:rsidRDefault="00E4001C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</w:p>
    <w:p w14:paraId="7EBC81BC" w14:textId="77777777" w:rsidR="00E4001C" w:rsidRDefault="00E4001C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</w:p>
    <w:p w14:paraId="4A3150A3" w14:textId="18DD596E" w:rsidR="003C1E68" w:rsidRP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>Imprese che prevedono nel 2022 un aumento dell'occupazione</w:t>
      </w:r>
    </w:p>
    <w:p w14:paraId="388DFACE" w14:textId="06D6896E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>
        <w:rPr>
          <w:rFonts w:asciiTheme="majorHAnsi" w:hAnsiTheme="majorHAnsi" w:cstheme="majorHAnsi"/>
          <w:i/>
          <w:iCs/>
          <w:noProof/>
          <w:sz w:val="18"/>
          <w:szCs w:val="18"/>
          <w:lang w:val="it-IT"/>
        </w:rPr>
        <w:drawing>
          <wp:inline distT="0" distB="0" distL="0" distR="0" wp14:anchorId="59729FAE" wp14:editId="29841CC2">
            <wp:extent cx="3460750" cy="1806996"/>
            <wp:effectExtent l="0" t="0" r="635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48" cy="181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FEAC2" w14:textId="77777777" w:rsidR="003C1E68" w:rsidRDefault="003C1E68" w:rsidP="003C1E68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 w:rsidRPr="003C1E68">
        <w:rPr>
          <w:rFonts w:asciiTheme="majorHAnsi" w:hAnsiTheme="majorHAnsi" w:cstheme="majorHAnsi"/>
          <w:i/>
          <w:iCs/>
          <w:sz w:val="18"/>
          <w:szCs w:val="18"/>
          <w:lang w:val="it-IT"/>
        </w:rPr>
        <w:t>Fonte: Indagine Centro Studi Guglielmo Tagliacarne - Unioncamere sulle PMI manifatturiere 5-249 addetti, 2022</w:t>
      </w:r>
    </w:p>
    <w:p w14:paraId="753FEB1F" w14:textId="1483C1D7" w:rsid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</w:p>
    <w:p w14:paraId="00D43926" w14:textId="77777777" w:rsidR="00E4001C" w:rsidRDefault="00E4001C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</w:p>
    <w:p w14:paraId="20280C69" w14:textId="1895E453" w:rsidR="003C1E68" w:rsidRP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 xml:space="preserve">Imprese che prevedono di investire nella formazione del capitale umano nel triennio 2022-24 </w:t>
      </w:r>
    </w:p>
    <w:p w14:paraId="0D9DE8DD" w14:textId="296E602B" w:rsidR="003C1E68" w:rsidRDefault="00A54BC9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>
        <w:rPr>
          <w:rFonts w:asciiTheme="majorHAnsi" w:hAnsiTheme="majorHAnsi" w:cstheme="majorHAnsi"/>
          <w:i/>
          <w:iCs/>
          <w:noProof/>
          <w:sz w:val="18"/>
          <w:szCs w:val="18"/>
          <w:lang w:val="it-IT"/>
        </w:rPr>
        <w:drawing>
          <wp:inline distT="0" distB="0" distL="0" distR="0" wp14:anchorId="71EBD91C" wp14:editId="3523C206">
            <wp:extent cx="3384550" cy="1967513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06" cy="1975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DBEDE" w14:textId="1F266747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 w:rsidRPr="003C1E68">
        <w:rPr>
          <w:rFonts w:asciiTheme="majorHAnsi" w:hAnsiTheme="majorHAnsi" w:cstheme="majorHAnsi"/>
          <w:i/>
          <w:iCs/>
          <w:sz w:val="18"/>
          <w:szCs w:val="18"/>
          <w:lang w:val="it-IT"/>
        </w:rPr>
        <w:t>Fonte: Indagine Centro Studi Guglielmo Tagliacarne - Unioncamere sulle PMI manifatturiere 5-249 addetti, 2022</w:t>
      </w:r>
    </w:p>
    <w:p w14:paraId="79093B49" w14:textId="723453E1" w:rsidR="00E4001C" w:rsidRDefault="00E4001C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</w:p>
    <w:p w14:paraId="196EDD02" w14:textId="32EA2367" w:rsidR="003C1E68" w:rsidRP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 xml:space="preserve">Imprese che si </w:t>
      </w:r>
      <w:r w:rsidR="00A54BC9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>relazionano</w:t>
      </w: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 xml:space="preserve"> con l'Università ed il sistema scolastico</w:t>
      </w:r>
    </w:p>
    <w:p w14:paraId="2F4C4BCF" w14:textId="29A8F502" w:rsidR="003C1E68" w:rsidRDefault="00A54BC9" w:rsidP="00A8231F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16"/>
          <w:szCs w:val="16"/>
          <w:lang w:val="it-IT"/>
        </w:rPr>
      </w:pPr>
      <w:r>
        <w:rPr>
          <w:rFonts w:asciiTheme="majorHAnsi" w:hAnsiTheme="majorHAnsi" w:cstheme="majorHAnsi"/>
          <w:b/>
          <w:bCs/>
          <w:i/>
          <w:iCs/>
          <w:noProof/>
          <w:sz w:val="16"/>
          <w:szCs w:val="16"/>
          <w:lang w:val="it-IT"/>
        </w:rPr>
        <w:drawing>
          <wp:inline distT="0" distB="0" distL="0" distR="0" wp14:anchorId="733A1DCF" wp14:editId="31D77D22">
            <wp:extent cx="4235450" cy="2455333"/>
            <wp:effectExtent l="0" t="0" r="0" b="254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48" cy="245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A78FE" w14:textId="77777777" w:rsidR="00A54BC9" w:rsidRPr="00A54BC9" w:rsidRDefault="00A54BC9" w:rsidP="00A54BC9">
      <w:pPr>
        <w:spacing w:line="240" w:lineRule="auto"/>
        <w:jc w:val="both"/>
        <w:rPr>
          <w:rFonts w:asciiTheme="majorHAnsi" w:hAnsiTheme="majorHAnsi" w:cstheme="majorHAnsi"/>
          <w:i/>
          <w:iCs/>
          <w:sz w:val="16"/>
          <w:szCs w:val="16"/>
          <w:lang w:val="it-IT"/>
        </w:rPr>
      </w:pPr>
      <w:r w:rsidRPr="00A54BC9">
        <w:rPr>
          <w:rFonts w:asciiTheme="majorHAnsi" w:hAnsiTheme="majorHAnsi" w:cstheme="majorHAnsi"/>
          <w:i/>
          <w:iCs/>
          <w:sz w:val="16"/>
          <w:szCs w:val="16"/>
          <w:lang w:val="it-IT"/>
        </w:rPr>
        <w:t>* Imprese che si relazionano con il sistema scolastico per progetti di alternanza scuola-lavoro, stage, tirocini.</w:t>
      </w:r>
    </w:p>
    <w:p w14:paraId="4F573916" w14:textId="77777777" w:rsidR="00A54BC9" w:rsidRDefault="00A54BC9" w:rsidP="00A54BC9">
      <w:pPr>
        <w:spacing w:line="240" w:lineRule="auto"/>
        <w:jc w:val="both"/>
        <w:rPr>
          <w:rFonts w:asciiTheme="majorHAnsi" w:hAnsiTheme="majorHAnsi" w:cstheme="majorHAnsi"/>
          <w:i/>
          <w:iCs/>
          <w:sz w:val="16"/>
          <w:szCs w:val="16"/>
          <w:lang w:val="it-IT"/>
        </w:rPr>
      </w:pPr>
      <w:r w:rsidRPr="00A54BC9">
        <w:rPr>
          <w:rFonts w:asciiTheme="majorHAnsi" w:hAnsiTheme="majorHAnsi" w:cstheme="majorHAnsi"/>
          <w:i/>
          <w:iCs/>
          <w:sz w:val="16"/>
          <w:szCs w:val="16"/>
          <w:lang w:val="it-IT"/>
        </w:rPr>
        <w:t>** Imprese che si relazionano con Università e centri di ricerca per progetti di open innovation.</w:t>
      </w:r>
    </w:p>
    <w:p w14:paraId="2923AADF" w14:textId="21F501EA" w:rsidR="003C1E68" w:rsidRPr="003C1E68" w:rsidRDefault="003C1E68" w:rsidP="00A54BC9">
      <w:pPr>
        <w:spacing w:before="240"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 w:rsidRPr="003C1E68">
        <w:rPr>
          <w:rFonts w:asciiTheme="majorHAnsi" w:hAnsiTheme="majorHAnsi" w:cstheme="majorHAnsi"/>
          <w:i/>
          <w:iCs/>
          <w:sz w:val="18"/>
          <w:szCs w:val="18"/>
          <w:lang w:val="it-IT"/>
        </w:rPr>
        <w:t>Fonte: Indagine Centro Studi Guglielmo Tagliacarne - Unioncamere sulle PMI manifatturiere 5-249 addetti, 2022</w:t>
      </w:r>
    </w:p>
    <w:p w14:paraId="5FBF779A" w14:textId="7677C0A4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</w:p>
    <w:p w14:paraId="6B264A30" w14:textId="36F901F5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</w:p>
    <w:p w14:paraId="74F0A6EB" w14:textId="4F408CB1" w:rsid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</w:p>
    <w:p w14:paraId="7EEEC427" w14:textId="77777777" w:rsidR="003C1E68" w:rsidRPr="003C1E68" w:rsidRDefault="003C1E68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</w:pPr>
      <w:r w:rsidRPr="003C1E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it-IT"/>
        </w:rPr>
        <w:t>Imprese che si sono attivate o hanno in programma di attivarsi per aderire agli interventi del PNRR di supporto diretto alle imprese*</w:t>
      </w:r>
    </w:p>
    <w:p w14:paraId="7A623DEF" w14:textId="66F804F0" w:rsidR="003C1E68" w:rsidRDefault="00243915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>
        <w:rPr>
          <w:rFonts w:asciiTheme="majorHAnsi" w:hAnsiTheme="majorHAnsi" w:cstheme="majorHAnsi"/>
          <w:i/>
          <w:iCs/>
          <w:noProof/>
          <w:sz w:val="18"/>
          <w:szCs w:val="18"/>
          <w:lang w:val="it-IT"/>
        </w:rPr>
        <w:drawing>
          <wp:inline distT="0" distB="0" distL="0" distR="0" wp14:anchorId="437FBCE1" wp14:editId="780B991F">
            <wp:extent cx="4235450" cy="2455333"/>
            <wp:effectExtent l="0" t="0" r="0" b="254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64" cy="2461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4DCE0" w14:textId="77777777" w:rsidR="00243915" w:rsidRDefault="00243915" w:rsidP="003C1E68">
      <w:pPr>
        <w:spacing w:line="240" w:lineRule="auto"/>
        <w:jc w:val="both"/>
        <w:rPr>
          <w:rFonts w:asciiTheme="majorHAnsi" w:hAnsiTheme="majorHAnsi" w:cstheme="majorHAnsi"/>
          <w:i/>
          <w:iCs/>
          <w:sz w:val="16"/>
          <w:szCs w:val="16"/>
          <w:lang w:val="it-IT"/>
        </w:rPr>
      </w:pPr>
    </w:p>
    <w:p w14:paraId="70ECEDF4" w14:textId="1D0D9E76" w:rsidR="003C1E68" w:rsidRPr="00243915" w:rsidRDefault="003C1E68" w:rsidP="003C1E68">
      <w:pPr>
        <w:spacing w:line="240" w:lineRule="auto"/>
        <w:jc w:val="both"/>
        <w:rPr>
          <w:rFonts w:asciiTheme="majorHAnsi" w:hAnsiTheme="majorHAnsi" w:cstheme="majorHAnsi"/>
          <w:i/>
          <w:iCs/>
          <w:sz w:val="16"/>
          <w:szCs w:val="16"/>
          <w:lang w:val="it-IT"/>
        </w:rPr>
      </w:pPr>
      <w:r w:rsidRPr="00243915">
        <w:rPr>
          <w:rFonts w:asciiTheme="majorHAnsi" w:hAnsiTheme="majorHAnsi" w:cstheme="majorHAnsi"/>
          <w:i/>
          <w:iCs/>
          <w:sz w:val="16"/>
          <w:szCs w:val="16"/>
          <w:lang w:val="it-IT"/>
        </w:rPr>
        <w:t>* Interventi che riguardano più direttamente le misure per le imprese (es. investimenti in beni strumentali materiali e immateriali 4.0,attività di formazione alla digitalizzazione, investimenti per il turismo sostenibile, investimenti in tecnologie per l'economia circolare)</w:t>
      </w:r>
    </w:p>
    <w:p w14:paraId="474886A4" w14:textId="77777777" w:rsidR="003C1E68" w:rsidRDefault="003C1E68" w:rsidP="003C1E68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</w:p>
    <w:p w14:paraId="5CD246AA" w14:textId="055D8B8B" w:rsidR="003C1E68" w:rsidRPr="003C1E68" w:rsidRDefault="003C1E68" w:rsidP="00A8231F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  <w:lang w:val="it-IT"/>
        </w:rPr>
      </w:pPr>
      <w:r w:rsidRPr="003C1E68">
        <w:rPr>
          <w:rFonts w:asciiTheme="majorHAnsi" w:hAnsiTheme="majorHAnsi" w:cstheme="majorHAnsi"/>
          <w:i/>
          <w:iCs/>
          <w:sz w:val="18"/>
          <w:szCs w:val="18"/>
          <w:lang w:val="it-IT"/>
        </w:rPr>
        <w:t>Fonte: Indagine Centro Studi Guglielmo Tagliacarne - Unioncamere sulle PMI manifatturiere 5-249 addetti, 2022</w:t>
      </w:r>
    </w:p>
    <w:sectPr w:rsidR="003C1E68" w:rsidRPr="003C1E68">
      <w:headerReference w:type="default" r:id="rId11"/>
      <w:footerReference w:type="default" r:id="rId12"/>
      <w:pgSz w:w="11909" w:h="16834"/>
      <w:pgMar w:top="2692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19164" w14:textId="77777777" w:rsidR="00A50767" w:rsidRDefault="00A50767">
      <w:pPr>
        <w:spacing w:line="240" w:lineRule="auto"/>
      </w:pPr>
      <w:r>
        <w:separator/>
      </w:r>
    </w:p>
  </w:endnote>
  <w:endnote w:type="continuationSeparator" w:id="0">
    <w:p w14:paraId="5DE1492A" w14:textId="77777777" w:rsidR="00A50767" w:rsidRDefault="00A50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0789" w14:textId="625670A0" w:rsidR="00580E51" w:rsidRDefault="009A153D">
    <w:pPr>
      <w:jc w:val="right"/>
    </w:pPr>
    <w:r>
      <w:fldChar w:fldCharType="begin"/>
    </w:r>
    <w:r>
      <w:instrText>PAGE</w:instrText>
    </w:r>
    <w:r>
      <w:fldChar w:fldCharType="separate"/>
    </w:r>
    <w:r w:rsidR="00ED608B">
      <w:rPr>
        <w:noProof/>
      </w:rPr>
      <w:t>2</w:t>
    </w:r>
    <w:r>
      <w:fldChar w:fldCharType="end"/>
    </w:r>
  </w:p>
  <w:p w14:paraId="05D1E917" w14:textId="77777777" w:rsidR="00580E51" w:rsidRDefault="00580E51">
    <w:pPr>
      <w:tabs>
        <w:tab w:val="center" w:pos="4819"/>
        <w:tab w:val="right" w:pos="9638"/>
      </w:tabs>
      <w:spacing w:line="240" w:lineRule="auto"/>
      <w:rPr>
        <w:rFonts w:ascii="Rasa Light" w:eastAsia="Rasa Light" w:hAnsi="Rasa Light" w:cs="Rasa Light"/>
        <w:color w:val="071D49"/>
        <w:sz w:val="20"/>
        <w:szCs w:val="20"/>
      </w:rPr>
    </w:pPr>
  </w:p>
  <w:tbl>
    <w:tblPr>
      <w:tblStyle w:val="a"/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580E51" w14:paraId="7077D25F" w14:textId="77777777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E7D46C" w14:textId="77777777" w:rsidR="00580E51" w:rsidRDefault="009A153D">
          <w:pPr>
            <w:tabs>
              <w:tab w:val="center" w:pos="4819"/>
              <w:tab w:val="right" w:pos="9638"/>
            </w:tabs>
            <w:spacing w:line="240" w:lineRule="auto"/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38CD0E7F" w14:textId="77777777" w:rsidR="00580E51" w:rsidRDefault="009A153D">
          <w:pPr>
            <w:tabs>
              <w:tab w:val="center" w:pos="4819"/>
              <w:tab w:val="right" w:pos="9638"/>
            </w:tabs>
            <w:spacing w:line="240" w:lineRule="auto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2DB2011E" w14:textId="77777777" w:rsidR="00580E51" w:rsidRDefault="009A153D">
          <w:pPr>
            <w:widowControl w:val="0"/>
            <w:spacing w:line="240" w:lineRule="auto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Loredana Capuozzo | cell. 331.6098963 | email: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E1B3B7" w14:textId="77777777" w:rsidR="00580E51" w:rsidRDefault="00A50767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7384532C" wp14:editId="3677B05A">
                  <wp:extent cx="227965" cy="22796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B848D4" w14:textId="77777777" w:rsidR="00580E51" w:rsidRDefault="00A50767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28B53FCB" wp14:editId="4C5D1315">
                  <wp:extent cx="199837" cy="19983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1CE9C38" w14:textId="77777777" w:rsidR="00580E51" w:rsidRDefault="00A50767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29B1D948" wp14:editId="26E97207">
                  <wp:extent cx="199837" cy="19983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4BFAD2" w14:textId="77777777" w:rsidR="00580E51" w:rsidRDefault="00A50767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64C84C55" wp14:editId="73255841">
                  <wp:extent cx="194628" cy="200025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E2021C" w14:textId="77777777" w:rsidR="00580E51" w:rsidRDefault="00A50767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9A153D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7AB7ADB8" wp14:editId="739072A3">
                  <wp:extent cx="194628" cy="194628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3FCE7D6C" w14:textId="77777777" w:rsidR="00580E51" w:rsidRDefault="00580E5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38FB" w14:textId="77777777" w:rsidR="00A50767" w:rsidRDefault="00A50767">
      <w:pPr>
        <w:spacing w:line="240" w:lineRule="auto"/>
      </w:pPr>
      <w:r>
        <w:separator/>
      </w:r>
    </w:p>
  </w:footnote>
  <w:footnote w:type="continuationSeparator" w:id="0">
    <w:p w14:paraId="5E56ECDD" w14:textId="77777777" w:rsidR="00A50767" w:rsidRDefault="00A507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73C2" w14:textId="77777777" w:rsidR="00580E51" w:rsidRDefault="009A153D"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60996612" wp14:editId="77EDA949">
          <wp:simplePos x="0" y="0"/>
          <wp:positionH relativeFrom="column">
            <wp:posOffset>-915824</wp:posOffset>
          </wp:positionH>
          <wp:positionV relativeFrom="paragraph">
            <wp:posOffset>-457199</wp:posOffset>
          </wp:positionV>
          <wp:extent cx="7562850" cy="157734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7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51"/>
    <w:rsid w:val="00030170"/>
    <w:rsid w:val="00063830"/>
    <w:rsid w:val="0007201A"/>
    <w:rsid w:val="00082170"/>
    <w:rsid w:val="00085132"/>
    <w:rsid w:val="00086489"/>
    <w:rsid w:val="000F2CD1"/>
    <w:rsid w:val="00122946"/>
    <w:rsid w:val="00167779"/>
    <w:rsid w:val="00184EDF"/>
    <w:rsid w:val="00187AF5"/>
    <w:rsid w:val="001D4D64"/>
    <w:rsid w:val="001D6B26"/>
    <w:rsid w:val="00217047"/>
    <w:rsid w:val="00243915"/>
    <w:rsid w:val="0024753F"/>
    <w:rsid w:val="00260B50"/>
    <w:rsid w:val="002B1B51"/>
    <w:rsid w:val="002C2791"/>
    <w:rsid w:val="003012DE"/>
    <w:rsid w:val="003211A4"/>
    <w:rsid w:val="003C1E68"/>
    <w:rsid w:val="003F0C41"/>
    <w:rsid w:val="004044A3"/>
    <w:rsid w:val="0044295F"/>
    <w:rsid w:val="0046645B"/>
    <w:rsid w:val="004A10DF"/>
    <w:rsid w:val="004D633F"/>
    <w:rsid w:val="00547E97"/>
    <w:rsid w:val="00580E51"/>
    <w:rsid w:val="005A4353"/>
    <w:rsid w:val="005B5841"/>
    <w:rsid w:val="005F389A"/>
    <w:rsid w:val="006339B2"/>
    <w:rsid w:val="00642FEE"/>
    <w:rsid w:val="00644DA0"/>
    <w:rsid w:val="00667D5C"/>
    <w:rsid w:val="006A0828"/>
    <w:rsid w:val="006A5076"/>
    <w:rsid w:val="007034A1"/>
    <w:rsid w:val="007158FB"/>
    <w:rsid w:val="007234DE"/>
    <w:rsid w:val="00851857"/>
    <w:rsid w:val="00851ACB"/>
    <w:rsid w:val="008864FA"/>
    <w:rsid w:val="008C1F52"/>
    <w:rsid w:val="008C6EE4"/>
    <w:rsid w:val="008F5773"/>
    <w:rsid w:val="00913C0D"/>
    <w:rsid w:val="00935D95"/>
    <w:rsid w:val="009500BA"/>
    <w:rsid w:val="0096591B"/>
    <w:rsid w:val="0098077A"/>
    <w:rsid w:val="009A153D"/>
    <w:rsid w:val="009E1936"/>
    <w:rsid w:val="00A50767"/>
    <w:rsid w:val="00A54BC9"/>
    <w:rsid w:val="00A8231F"/>
    <w:rsid w:val="00AC3800"/>
    <w:rsid w:val="00B073C0"/>
    <w:rsid w:val="00B344C9"/>
    <w:rsid w:val="00BA7B57"/>
    <w:rsid w:val="00BD29DD"/>
    <w:rsid w:val="00C1684F"/>
    <w:rsid w:val="00C47BC3"/>
    <w:rsid w:val="00C84767"/>
    <w:rsid w:val="00CF108C"/>
    <w:rsid w:val="00D11F57"/>
    <w:rsid w:val="00D437A1"/>
    <w:rsid w:val="00D71FC5"/>
    <w:rsid w:val="00DA2A9B"/>
    <w:rsid w:val="00DD639D"/>
    <w:rsid w:val="00E4001C"/>
    <w:rsid w:val="00E40C16"/>
    <w:rsid w:val="00E45CCB"/>
    <w:rsid w:val="00E73203"/>
    <w:rsid w:val="00E77231"/>
    <w:rsid w:val="00EC2AAE"/>
    <w:rsid w:val="00ED608B"/>
    <w:rsid w:val="00EF1DF8"/>
    <w:rsid w:val="00F0639F"/>
    <w:rsid w:val="00F741F2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49E"/>
  <w15:docId w15:val="{42C6AE87-0925-45EC-8C22-D52F592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1E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68"/>
  </w:style>
  <w:style w:type="paragraph" w:styleId="Pidipagina">
    <w:name w:val="footer"/>
    <w:basedOn w:val="Normale"/>
    <w:link w:val="PidipaginaCarattere"/>
    <w:uiPriority w:val="99"/>
    <w:unhideWhenUsed/>
    <w:rsid w:val="003C1E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9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8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2022-05-10T13:04:00Z</cp:lastPrinted>
  <dcterms:created xsi:type="dcterms:W3CDTF">2022-05-12T09:41:00Z</dcterms:created>
  <dcterms:modified xsi:type="dcterms:W3CDTF">2022-05-13T08:29:00Z</dcterms:modified>
</cp:coreProperties>
</file>