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F8E2" w14:textId="12352EE0" w:rsidR="00580E51" w:rsidRDefault="009A153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Rasa" w:eastAsia="Rasa" w:hAnsi="Rasa" w:cs="Rasa"/>
          <w:color w:val="071D49"/>
          <w:sz w:val="24"/>
          <w:szCs w:val="24"/>
        </w:rPr>
        <w:t>Comunicato stampa</w:t>
      </w:r>
    </w:p>
    <w:p w14:paraId="1E716203" w14:textId="77777777" w:rsidR="00F90FF3" w:rsidRDefault="00F90FF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694BF4F" w14:textId="0D42E7C5" w:rsidR="0065582C" w:rsidRDefault="002F64D4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Tagliacarne</w:t>
      </w:r>
      <w:r w:rsidR="0065582C">
        <w:rPr>
          <w:rFonts w:ascii="Calibri" w:eastAsia="Calibri" w:hAnsi="Calibri" w:cs="Calibri"/>
          <w:b/>
          <w:sz w:val="32"/>
          <w:szCs w:val="32"/>
        </w:rPr>
        <w:t xml:space="preserve">: 36 mila imprese avvieranno la transizione </w:t>
      </w:r>
      <w:r>
        <w:rPr>
          <w:rFonts w:ascii="Calibri" w:eastAsia="Calibri" w:hAnsi="Calibri" w:cs="Calibri"/>
          <w:b/>
          <w:sz w:val="32"/>
          <w:szCs w:val="32"/>
        </w:rPr>
        <w:t xml:space="preserve">digitale </w:t>
      </w:r>
      <w:r w:rsidR="0065582C">
        <w:rPr>
          <w:rFonts w:ascii="Calibri" w:eastAsia="Calibri" w:hAnsi="Calibri" w:cs="Calibri"/>
          <w:b/>
          <w:sz w:val="32"/>
          <w:szCs w:val="32"/>
        </w:rPr>
        <w:t>4.0 entro il 202</w:t>
      </w:r>
      <w:r w:rsidR="00032274">
        <w:rPr>
          <w:rFonts w:ascii="Calibri" w:eastAsia="Calibri" w:hAnsi="Calibri" w:cs="Calibri"/>
          <w:b/>
          <w:sz w:val="32"/>
          <w:szCs w:val="32"/>
        </w:rPr>
        <w:t>4</w:t>
      </w:r>
    </w:p>
    <w:p w14:paraId="1D18D434" w14:textId="77777777" w:rsidR="0065582C" w:rsidRDefault="0065582C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26D9457" w14:textId="58C3E4C8" w:rsidR="00A8231F" w:rsidRPr="00A8231F" w:rsidRDefault="00BE3183" w:rsidP="00F741F2">
      <w:pPr>
        <w:tabs>
          <w:tab w:val="left" w:pos="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0E54AE">
        <w:rPr>
          <w:rFonts w:ascii="Calibri" w:eastAsia="Calibri" w:hAnsi="Calibri" w:cs="Calibri"/>
          <w:b/>
          <w:sz w:val="32"/>
          <w:szCs w:val="32"/>
        </w:rPr>
        <w:t>1</w:t>
      </w:r>
      <w:r w:rsidR="00C23F61" w:rsidRPr="000E54AE">
        <w:rPr>
          <w:rFonts w:ascii="Calibri" w:eastAsia="Calibri" w:hAnsi="Calibri" w:cs="Calibri"/>
          <w:b/>
          <w:sz w:val="32"/>
          <w:szCs w:val="32"/>
        </w:rPr>
        <w:t xml:space="preserve"> su </w:t>
      </w:r>
      <w:r w:rsidRPr="000E54AE">
        <w:rPr>
          <w:rFonts w:ascii="Calibri" w:eastAsia="Calibri" w:hAnsi="Calibri" w:cs="Calibri"/>
          <w:b/>
          <w:sz w:val="32"/>
          <w:szCs w:val="32"/>
        </w:rPr>
        <w:t>4</w:t>
      </w:r>
      <w:r w:rsidR="00C23F61" w:rsidRPr="000E54AE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406013" w:rsidRPr="000E54AE">
        <w:rPr>
          <w:rFonts w:ascii="Calibri" w:eastAsia="Calibri" w:hAnsi="Calibri" w:cs="Calibri"/>
          <w:b/>
          <w:sz w:val="32"/>
          <w:szCs w:val="32"/>
        </w:rPr>
        <w:t>lo farà</w:t>
      </w:r>
      <w:r w:rsidR="00BE30EA" w:rsidRPr="000E54AE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C23F61" w:rsidRPr="000E54AE">
        <w:rPr>
          <w:rFonts w:ascii="Calibri" w:eastAsia="Calibri" w:hAnsi="Calibri" w:cs="Calibri"/>
          <w:b/>
          <w:sz w:val="32"/>
          <w:szCs w:val="32"/>
        </w:rPr>
        <w:t>grazie al PNRR</w:t>
      </w:r>
      <w:r w:rsidR="00BE30EA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447BE364" w14:textId="6C2251AE" w:rsidR="00580E51" w:rsidRPr="00A8231F" w:rsidRDefault="00580E51" w:rsidP="00A8231F">
      <w:pPr>
        <w:spacing w:line="240" w:lineRule="auto"/>
        <w:jc w:val="center"/>
        <w:rPr>
          <w:rFonts w:ascii="Calibri" w:eastAsia="Calibri" w:hAnsi="Calibri" w:cs="Calibri"/>
          <w:bCs/>
          <w:sz w:val="32"/>
          <w:szCs w:val="32"/>
        </w:rPr>
      </w:pPr>
    </w:p>
    <w:p w14:paraId="6909E57C" w14:textId="77777777" w:rsidR="00A8231F" w:rsidRDefault="00A8231F" w:rsidP="00A8231F">
      <w:pPr>
        <w:spacing w:line="240" w:lineRule="auto"/>
        <w:jc w:val="both"/>
      </w:pPr>
    </w:p>
    <w:p w14:paraId="04879654" w14:textId="09434927" w:rsidR="0065582C" w:rsidRDefault="00A8231F" w:rsidP="006B0671">
      <w:pPr>
        <w:spacing w:line="240" w:lineRule="auto"/>
        <w:jc w:val="both"/>
      </w:pPr>
      <w:r>
        <w:t xml:space="preserve">Roma, </w:t>
      </w:r>
      <w:r w:rsidR="00E1519A">
        <w:t>02</w:t>
      </w:r>
      <w:r>
        <w:t xml:space="preserve"> </w:t>
      </w:r>
      <w:r w:rsidR="00E1519A">
        <w:t>settembre</w:t>
      </w:r>
      <w:r>
        <w:t xml:space="preserve"> 202</w:t>
      </w:r>
      <w:r w:rsidR="00851857">
        <w:t>2</w:t>
      </w:r>
      <w:r>
        <w:t xml:space="preserve"> –</w:t>
      </w:r>
      <w:r w:rsidR="00BE30EA">
        <w:t xml:space="preserve"> </w:t>
      </w:r>
      <w:r w:rsidR="00EF7A46">
        <w:t xml:space="preserve">36 mila imprese prevedono di imboccare </w:t>
      </w:r>
      <w:r w:rsidR="00BE30EA">
        <w:t xml:space="preserve">per la prima volta </w:t>
      </w:r>
      <w:r w:rsidR="00EF7A46">
        <w:t xml:space="preserve">la </w:t>
      </w:r>
      <w:r w:rsidR="0094747B">
        <w:t>strada della</w:t>
      </w:r>
      <w:r w:rsidR="004158AE">
        <w:t xml:space="preserve"> transizione</w:t>
      </w:r>
      <w:r w:rsidR="00757A7E">
        <w:t xml:space="preserve"> 4.0 </w:t>
      </w:r>
      <w:r w:rsidR="00EF7A46">
        <w:t>entro il 2024</w:t>
      </w:r>
      <w:r w:rsidR="00A8681A">
        <w:t>,</w:t>
      </w:r>
      <w:r w:rsidR="00EF7A46" w:rsidRPr="00EF7A46">
        <w:t xml:space="preserve"> </w:t>
      </w:r>
      <w:r w:rsidR="00A8681A">
        <w:t>u</w:t>
      </w:r>
      <w:r w:rsidR="00090B75">
        <w:t xml:space="preserve">na su quattro lo farà utilizzando le risorse del </w:t>
      </w:r>
      <w:proofErr w:type="spellStart"/>
      <w:r w:rsidR="00090B75">
        <w:t>Pnrr</w:t>
      </w:r>
      <w:proofErr w:type="spellEnd"/>
      <w:r w:rsidR="00090B75">
        <w:t>.</w:t>
      </w:r>
      <w:r w:rsidR="00E00551">
        <w:t xml:space="preserve"> </w:t>
      </w:r>
      <w:r w:rsidR="00D30B7B">
        <w:t>E</w:t>
      </w:r>
      <w:r w:rsidR="00D30B7B" w:rsidRPr="00D30B7B">
        <w:t xml:space="preserve"> guardano al futuro con più ottimismo. Già nel 2022</w:t>
      </w:r>
      <w:r w:rsidR="00B44C0E">
        <w:t>,</w:t>
      </w:r>
      <w:r w:rsidR="00D30B7B" w:rsidRPr="00D30B7B">
        <w:t xml:space="preserve"> </w:t>
      </w:r>
      <w:r w:rsidR="00D30B7B">
        <w:t xml:space="preserve">il 46% </w:t>
      </w:r>
      <w:r w:rsidR="00D468CC" w:rsidRPr="00FE1BE1">
        <w:t xml:space="preserve">delle </w:t>
      </w:r>
      <w:r w:rsidR="00BE30EA">
        <w:t xml:space="preserve">aziende che faranno la svolta </w:t>
      </w:r>
      <w:r w:rsidR="00D30B7B">
        <w:t xml:space="preserve">prevede aumenti di </w:t>
      </w:r>
      <w:r w:rsidR="00D30B7B" w:rsidRPr="00D30B7B">
        <w:t xml:space="preserve">fatturato (contro il 38% delle </w:t>
      </w:r>
      <w:r w:rsidR="00D30B7B">
        <w:t xml:space="preserve">imprese </w:t>
      </w:r>
      <w:r w:rsidR="002F1D0F">
        <w:t xml:space="preserve">che </w:t>
      </w:r>
      <w:r w:rsidR="00757A7E">
        <w:t xml:space="preserve">non </w:t>
      </w:r>
      <w:r w:rsidR="00FE1BE1">
        <w:t>investono nelle tecnologie abilitanti</w:t>
      </w:r>
      <w:r w:rsidR="00D30B7B" w:rsidRPr="00D30B7B">
        <w:t>)</w:t>
      </w:r>
      <w:r w:rsidR="00D30B7B">
        <w:t xml:space="preserve"> e il 51% </w:t>
      </w:r>
      <w:r w:rsidR="00D30B7B" w:rsidRPr="00D30B7B">
        <w:t>conta di essere più present</w:t>
      </w:r>
      <w:r w:rsidR="00D30B7B">
        <w:t>e</w:t>
      </w:r>
      <w:r w:rsidR="00D30B7B" w:rsidRPr="00D30B7B">
        <w:t xml:space="preserve"> sui mercati esteri </w:t>
      </w:r>
      <w:r w:rsidR="00D30B7B">
        <w:t xml:space="preserve">(contro </w:t>
      </w:r>
      <w:r w:rsidR="00D30B7B" w:rsidRPr="00D30B7B">
        <w:t>il 31%)</w:t>
      </w:r>
      <w:r w:rsidR="00D30B7B">
        <w:t xml:space="preserve">. </w:t>
      </w:r>
    </w:p>
    <w:p w14:paraId="144D7B3E" w14:textId="5625D5CA" w:rsidR="00314080" w:rsidRDefault="00361EBC" w:rsidP="006B0671">
      <w:pPr>
        <w:spacing w:line="240" w:lineRule="auto"/>
        <w:jc w:val="both"/>
      </w:pPr>
      <w:r w:rsidRPr="007F2F64">
        <w:t>Big Data (31%)</w:t>
      </w:r>
      <w:r w:rsidR="000F71B7">
        <w:t>,</w:t>
      </w:r>
      <w:r w:rsidRPr="007F2F64">
        <w:t xml:space="preserve"> </w:t>
      </w:r>
      <w:r w:rsidR="00945731" w:rsidRPr="00FE1BE1">
        <w:t>s</w:t>
      </w:r>
      <w:r w:rsidR="00C52584" w:rsidRPr="00FE1BE1">
        <w:t>imulazione dei processi produttivi per ottimizzar</w:t>
      </w:r>
      <w:r w:rsidR="00A920A5" w:rsidRPr="00FE1BE1">
        <w:t>n</w:t>
      </w:r>
      <w:r w:rsidR="00C52584" w:rsidRPr="00FE1BE1">
        <w:t>e il funzionamento</w:t>
      </w:r>
      <w:r w:rsidR="00C52584" w:rsidRPr="00C52584">
        <w:rPr>
          <w:color w:val="00B050"/>
        </w:rPr>
        <w:t xml:space="preserve"> </w:t>
      </w:r>
      <w:r w:rsidRPr="007F2F64">
        <w:t>(28%)</w:t>
      </w:r>
      <w:r w:rsidR="000F71B7">
        <w:t>,</w:t>
      </w:r>
      <w:r w:rsidR="000F71B7" w:rsidRPr="000F71B7">
        <w:t xml:space="preserve"> Robotica</w:t>
      </w:r>
      <w:r w:rsidR="000F71B7">
        <w:t xml:space="preserve"> (22%): sono </w:t>
      </w:r>
      <w:r w:rsidR="001E799A">
        <w:t xml:space="preserve">i </w:t>
      </w:r>
      <w:r w:rsidR="000F71B7">
        <w:t>campi su cui investiranno di più</w:t>
      </w:r>
      <w:r w:rsidR="00D30B7B">
        <w:t xml:space="preserve"> nel passaggio </w:t>
      </w:r>
      <w:r w:rsidR="00757A7E">
        <w:t>verso la quarta rivoluzione industriale.</w:t>
      </w:r>
      <w:r w:rsidR="000F71B7">
        <w:t xml:space="preserve"> </w:t>
      </w:r>
      <w:r w:rsidR="00D30B7B">
        <w:t>P</w:t>
      </w:r>
      <w:r>
        <w:t xml:space="preserve">er gestire </w:t>
      </w:r>
      <w:r w:rsidR="00D30B7B">
        <w:t xml:space="preserve">al meglio questa transizione le imprese </w:t>
      </w:r>
      <w:r w:rsidR="000F71B7">
        <w:t>punteranno</w:t>
      </w:r>
      <w:r w:rsidR="006D5D8D">
        <w:t xml:space="preserve"> </w:t>
      </w:r>
      <w:r w:rsidR="00005452" w:rsidRPr="00E00551">
        <w:t>maggiormente su</w:t>
      </w:r>
      <w:r w:rsidR="006D5D8D">
        <w:t>l</w:t>
      </w:r>
      <w:r>
        <w:t xml:space="preserve"> </w:t>
      </w:r>
      <w:r w:rsidR="00005452" w:rsidRPr="00E00551">
        <w:t>capitale umano</w:t>
      </w:r>
      <w:r w:rsidR="006D5D8D">
        <w:t>.</w:t>
      </w:r>
      <w:r w:rsidR="00005452" w:rsidRPr="00E00551">
        <w:t xml:space="preserve"> </w:t>
      </w:r>
      <w:r w:rsidR="00B44C0E">
        <w:t>In particolare, i</w:t>
      </w:r>
      <w:r w:rsidR="00005452" w:rsidRPr="00E00551">
        <w:t xml:space="preserve">l </w:t>
      </w:r>
      <w:r w:rsidR="00D468CC">
        <w:t>70</w:t>
      </w:r>
      <w:r w:rsidR="00005452" w:rsidRPr="00E00551">
        <w:t xml:space="preserve">% </w:t>
      </w:r>
      <w:r w:rsidR="000F71B7">
        <w:t xml:space="preserve">farà leva </w:t>
      </w:r>
      <w:r w:rsidR="00005452" w:rsidRPr="00E00551">
        <w:t>sulla formazione per acquisi</w:t>
      </w:r>
      <w:r w:rsidR="000F71B7">
        <w:t>re</w:t>
      </w:r>
      <w:r w:rsidR="00005452" w:rsidRPr="00E00551">
        <w:t xml:space="preserve"> nuove competenze (contro il </w:t>
      </w:r>
      <w:r w:rsidR="00D468CC">
        <w:t>51</w:t>
      </w:r>
      <w:r w:rsidR="00005452" w:rsidRPr="00E00551">
        <w:t xml:space="preserve">% delle </w:t>
      </w:r>
      <w:r w:rsidR="006D5D8D">
        <w:t xml:space="preserve">imprese </w:t>
      </w:r>
      <w:r w:rsidR="00005452" w:rsidRPr="00E00551">
        <w:t>non digitali)</w:t>
      </w:r>
      <w:r w:rsidR="00945731">
        <w:t>,</w:t>
      </w:r>
      <w:r w:rsidR="006D5D8D">
        <w:t xml:space="preserve"> mentre </w:t>
      </w:r>
      <w:r w:rsidR="00005452" w:rsidRPr="00E00551">
        <w:t xml:space="preserve">l’87% </w:t>
      </w:r>
      <w:r w:rsidR="000F71B7">
        <w:t xml:space="preserve">acquisirà </w:t>
      </w:r>
      <w:r w:rsidR="00005452" w:rsidRPr="00E00551">
        <w:t>nuovi lavoratori ad elevata specializzazione (</w:t>
      </w:r>
      <w:r w:rsidR="006D5D8D">
        <w:t xml:space="preserve">contro il </w:t>
      </w:r>
      <w:r w:rsidR="00005452" w:rsidRPr="00E00551">
        <w:t>68% delle non digitali)</w:t>
      </w:r>
      <w:r w:rsidR="006D5D8D">
        <w:t>.</w:t>
      </w:r>
      <w:r w:rsidR="000F71B7" w:rsidRPr="000F71B7">
        <w:t xml:space="preserve"> </w:t>
      </w:r>
    </w:p>
    <w:p w14:paraId="7EDCDD26" w14:textId="77777777" w:rsidR="000F71B7" w:rsidRDefault="000F71B7" w:rsidP="006B0671">
      <w:pPr>
        <w:jc w:val="both"/>
      </w:pPr>
    </w:p>
    <w:p w14:paraId="125E13E4" w14:textId="20B4DB76" w:rsidR="000F71B7" w:rsidRPr="000F71B7" w:rsidRDefault="000B5C60" w:rsidP="006B0671">
      <w:pPr>
        <w:jc w:val="both"/>
      </w:pPr>
      <w:r w:rsidRPr="000B5C60">
        <w:t xml:space="preserve">È quanto emerge da un’indagine </w:t>
      </w:r>
      <w:r w:rsidR="002F1D0F">
        <w:t>condotta</w:t>
      </w:r>
      <w:r w:rsidRPr="000B5C60">
        <w:t xml:space="preserve"> quest’anno dal </w:t>
      </w:r>
      <w:r w:rsidRPr="0065582C">
        <w:rPr>
          <w:b/>
          <w:bCs/>
        </w:rPr>
        <w:t>Centro Studi Tagliacarne</w:t>
      </w:r>
      <w:r w:rsidRPr="000B5C60">
        <w:t xml:space="preserve"> svolta su un campione di </w:t>
      </w:r>
      <w:r w:rsidR="00F17850" w:rsidRPr="00F17850">
        <w:t>4</w:t>
      </w:r>
      <w:r w:rsidRPr="00F17850">
        <w:t>.000 imprese</w:t>
      </w:r>
      <w:r w:rsidRPr="000B5C60">
        <w:t xml:space="preserve"> manifatturiere e dei servizi tra 5 e 499 </w:t>
      </w:r>
      <w:r w:rsidRPr="006B0671">
        <w:t>adde</w:t>
      </w:r>
      <w:r w:rsidR="006D0EF1" w:rsidRPr="006B0671">
        <w:t xml:space="preserve">tti, </w:t>
      </w:r>
      <w:r w:rsidR="006B0671">
        <w:t>r</w:t>
      </w:r>
      <w:r w:rsidR="006D0EF1" w:rsidRPr="006B0671">
        <w:t>appresentativo dell’universo di 494mila mila imprese.</w:t>
      </w:r>
    </w:p>
    <w:p w14:paraId="35462C67" w14:textId="7C064D69" w:rsidR="006D5D8D" w:rsidRDefault="006D5D8D" w:rsidP="006B0671">
      <w:pPr>
        <w:jc w:val="both"/>
      </w:pPr>
    </w:p>
    <w:p w14:paraId="18D4B68C" w14:textId="5FFFF1B2" w:rsidR="00226D04" w:rsidRDefault="00226D04" w:rsidP="006B0671">
      <w:pPr>
        <w:jc w:val="both"/>
      </w:pPr>
      <w:r w:rsidRPr="0027309B">
        <w:t>“</w:t>
      </w:r>
      <w:r w:rsidR="0027309B" w:rsidRPr="0027309B">
        <w:t xml:space="preserve">C’è una forte </w:t>
      </w:r>
      <w:proofErr w:type="gramStart"/>
      <w:r w:rsidR="0027309B" w:rsidRPr="0027309B">
        <w:t>complementarietà</w:t>
      </w:r>
      <w:proofErr w:type="gramEnd"/>
      <w:r w:rsidR="0027309B" w:rsidRPr="0027309B">
        <w:t xml:space="preserve"> tra investimenti in tecnologie 4.0 e la qualificazione delle risorse umane per aumentare il valore aggiunto dei prodotti</w:t>
      </w:r>
      <w:r w:rsidR="005D1FEF">
        <w:t>, p</w:t>
      </w:r>
      <w:r w:rsidR="0027309B" w:rsidRPr="0027309B">
        <w:t xml:space="preserve">erciò </w:t>
      </w:r>
      <w:r w:rsidR="008E52F9">
        <w:t>il reperimento</w:t>
      </w:r>
      <w:r w:rsidR="0027309B">
        <w:t xml:space="preserve"> </w:t>
      </w:r>
      <w:r w:rsidR="0027309B" w:rsidRPr="0027309B">
        <w:t>di profili professionali</w:t>
      </w:r>
      <w:r w:rsidR="006B0671">
        <w:t xml:space="preserve"> </w:t>
      </w:r>
      <w:r w:rsidR="0027309B">
        <w:t>adeguat</w:t>
      </w:r>
      <w:r w:rsidR="006B0671">
        <w:t>i</w:t>
      </w:r>
      <w:r w:rsidR="0027309B" w:rsidRPr="0027309B">
        <w:t xml:space="preserve"> è un fattore strategico, ma anche critico</w:t>
      </w:r>
      <w:r w:rsidR="008E52F9">
        <w:t>. O</w:t>
      </w:r>
      <w:r w:rsidR="0027309B" w:rsidRPr="0027309B">
        <w:t>ggi le imprese</w:t>
      </w:r>
      <w:r w:rsidR="008E52F9">
        <w:t>, infatti,</w:t>
      </w:r>
      <w:r w:rsidR="0027309B" w:rsidRPr="0027309B">
        <w:t xml:space="preserve"> denunciano difficoltà di </w:t>
      </w:r>
      <w:r w:rsidR="008E52F9">
        <w:t xml:space="preserve">trovare sul mercato </w:t>
      </w:r>
      <w:r w:rsidR="0027309B" w:rsidRPr="0027309B">
        <w:t>più di un terzo de</w:t>
      </w:r>
      <w:r w:rsidR="008E52F9">
        <w:t>lle figure</w:t>
      </w:r>
      <w:r w:rsidR="0027309B" w:rsidRPr="0027309B">
        <w:t xml:space="preserve"> </w:t>
      </w:r>
      <w:r w:rsidR="008E52F9">
        <w:t>ricercate con competenze</w:t>
      </w:r>
      <w:r w:rsidR="0027309B" w:rsidRPr="0027309B">
        <w:t xml:space="preserve"> 4.0</w:t>
      </w:r>
      <w:r w:rsidR="0027309B">
        <w:t>”</w:t>
      </w:r>
      <w:r w:rsidR="0027309B" w:rsidRPr="0027309B">
        <w:t>.</w:t>
      </w:r>
      <w:r w:rsidR="0027309B">
        <w:t xml:space="preserve"> Lo sottolinea </w:t>
      </w:r>
      <w:r w:rsidR="0027309B" w:rsidRPr="006B0671">
        <w:rPr>
          <w:b/>
          <w:bCs/>
        </w:rPr>
        <w:t xml:space="preserve">Gaetano Fausto Esposito, </w:t>
      </w:r>
      <w:r w:rsidR="0027309B" w:rsidRPr="005D1FEF">
        <w:rPr>
          <w:b/>
          <w:bCs/>
        </w:rPr>
        <w:t>direttore generale del</w:t>
      </w:r>
      <w:r w:rsidR="0027309B" w:rsidRPr="006B0671">
        <w:t xml:space="preserve"> </w:t>
      </w:r>
      <w:r w:rsidR="0027309B" w:rsidRPr="006B0671">
        <w:rPr>
          <w:b/>
          <w:bCs/>
        </w:rPr>
        <w:t xml:space="preserve">Centro Studi Tagliacarne, </w:t>
      </w:r>
      <w:r w:rsidR="0027309B" w:rsidRPr="006B0671">
        <w:t>che aggiunge</w:t>
      </w:r>
      <w:r w:rsidR="0027309B" w:rsidRPr="006B0671">
        <w:rPr>
          <w:b/>
          <w:bCs/>
        </w:rPr>
        <w:t xml:space="preserve"> </w:t>
      </w:r>
      <w:r w:rsidR="0027309B" w:rsidRPr="0027309B">
        <w:t xml:space="preserve">“occorre anche fare in modo che non si creino fratture con il segmento di imprese che non ha ancora la capacità </w:t>
      </w:r>
      <w:proofErr w:type="gramStart"/>
      <w:r w:rsidR="0027309B" w:rsidRPr="0027309B">
        <w:t>mettere in campo</w:t>
      </w:r>
      <w:proofErr w:type="gramEnd"/>
      <w:r w:rsidR="0027309B" w:rsidRPr="0027309B">
        <w:t xml:space="preserve"> strategie più moderne</w:t>
      </w:r>
      <w:r w:rsidR="006B0671">
        <w:t>.</w:t>
      </w:r>
      <w:r w:rsidR="0027309B" w:rsidRPr="0027309B">
        <w:t xml:space="preserve"> </w:t>
      </w:r>
      <w:r w:rsidR="006B0671">
        <w:t>Per questo</w:t>
      </w:r>
      <w:r w:rsidR="0027309B" w:rsidRPr="0027309B">
        <w:t xml:space="preserve"> bisogna diffondere ulteriormente la conoscenza delle opportunità offerte al riguardo dal PNRR, in particolare nel Mezzogiorno e tra le aziende di minore dimensione</w:t>
      </w:r>
      <w:r w:rsidR="0027309B">
        <w:t>”</w:t>
      </w:r>
      <w:r w:rsidR="0027309B" w:rsidRPr="0027309B">
        <w:t>.</w:t>
      </w:r>
    </w:p>
    <w:p w14:paraId="4D8A22E0" w14:textId="77777777" w:rsidR="00226D04" w:rsidRDefault="00226D04" w:rsidP="006B0671">
      <w:pPr>
        <w:jc w:val="both"/>
      </w:pPr>
    </w:p>
    <w:p w14:paraId="295CCAB2" w14:textId="61B8E0D9" w:rsidR="00ED5AB3" w:rsidRDefault="00ED5AB3" w:rsidP="006B0671">
      <w:pPr>
        <w:spacing w:line="240" w:lineRule="auto"/>
        <w:jc w:val="both"/>
      </w:pPr>
      <w:r>
        <w:t>Ad oggi</w:t>
      </w:r>
      <w:r w:rsidR="00B813B6">
        <w:t xml:space="preserve">, </w:t>
      </w:r>
      <w:r w:rsidR="00297665">
        <w:t xml:space="preserve">il </w:t>
      </w:r>
      <w:r w:rsidR="00297665" w:rsidRPr="00032274">
        <w:t>67%</w:t>
      </w:r>
      <w:r w:rsidR="00297665">
        <w:t xml:space="preserve"> </w:t>
      </w:r>
      <w:r w:rsidR="00A91BFA" w:rsidRPr="00A91BFA">
        <w:t>dell’universo delle imprese oggetto dell’indagine</w:t>
      </w:r>
      <w:r w:rsidR="00A91BFA" w:rsidRPr="00A91BFA">
        <w:t xml:space="preserve"> </w:t>
      </w:r>
      <w:r w:rsidR="001E799A" w:rsidRPr="001E799A">
        <w:t xml:space="preserve">(332mila in valori assoluti) </w:t>
      </w:r>
      <w:r w:rsidR="00297665">
        <w:t xml:space="preserve">non </w:t>
      </w:r>
      <w:r>
        <w:t>ha ancora investito in tecnologie 4.0</w:t>
      </w:r>
      <w:r w:rsidR="00297665">
        <w:t xml:space="preserve">. Una quota che sale al 70% al Mezzogiorno e </w:t>
      </w:r>
      <w:r w:rsidR="00BF4DDE">
        <w:t xml:space="preserve">caratterizza maggiormente i </w:t>
      </w:r>
      <w:r w:rsidR="00297665">
        <w:t>servizi (85%</w:t>
      </w:r>
      <w:r w:rsidR="00BF4DDE">
        <w:t xml:space="preserve">) rispetto al manifatturiero (60%). </w:t>
      </w:r>
      <w:r w:rsidR="00B44C0E">
        <w:t>Più arretrate sono soprattutto le micro imprese (</w:t>
      </w:r>
      <w:r w:rsidR="004C1266">
        <w:t xml:space="preserve">con </w:t>
      </w:r>
      <w:r w:rsidR="00B44C0E">
        <w:t>5-9</w:t>
      </w:r>
      <w:r w:rsidR="004C1266">
        <w:t xml:space="preserve"> </w:t>
      </w:r>
      <w:proofErr w:type="gramStart"/>
      <w:r w:rsidR="004C1266">
        <w:t>addetti</w:t>
      </w:r>
      <w:r w:rsidR="00B44C0E">
        <w:t xml:space="preserve"> )</w:t>
      </w:r>
      <w:proofErr w:type="gramEnd"/>
      <w:r w:rsidR="00B44C0E">
        <w:t>,</w:t>
      </w:r>
      <w:r w:rsidR="00F90FF3">
        <w:t xml:space="preserve"> </w:t>
      </w:r>
      <w:r w:rsidR="004C1266">
        <w:t>l’8</w:t>
      </w:r>
      <w:r w:rsidR="00471CBA">
        <w:t>4</w:t>
      </w:r>
      <w:r w:rsidR="004C1266">
        <w:t xml:space="preserve">% di queste si trova infatti ancora </w:t>
      </w:r>
      <w:r w:rsidR="005139C1">
        <w:t xml:space="preserve">ai nastri </w:t>
      </w:r>
      <w:r w:rsidR="00BF4DDE">
        <w:t xml:space="preserve">di partenza </w:t>
      </w:r>
      <w:r>
        <w:t xml:space="preserve">contro il 39% delle </w:t>
      </w:r>
      <w:r w:rsidRPr="00797A0C">
        <w:rPr>
          <w:color w:val="000000" w:themeColor="text1"/>
        </w:rPr>
        <w:t xml:space="preserve">medio-grandi </w:t>
      </w:r>
      <w:r>
        <w:t>(50-499 addetti).</w:t>
      </w:r>
      <w:bookmarkStart w:id="0" w:name="_Hlk110610693"/>
    </w:p>
    <w:bookmarkEnd w:id="0"/>
    <w:p w14:paraId="681AAFD6" w14:textId="77777777" w:rsidR="00ED5AB3" w:rsidRDefault="00ED5AB3" w:rsidP="006B0671">
      <w:pPr>
        <w:jc w:val="both"/>
      </w:pPr>
    </w:p>
    <w:p w14:paraId="0C6B4ACB" w14:textId="44230627" w:rsidR="00A955D2" w:rsidRDefault="00A955D2" w:rsidP="006B0671">
      <w:pPr>
        <w:jc w:val="both"/>
      </w:pPr>
      <w:r>
        <w:lastRenderedPageBreak/>
        <w:t>Ma l</w:t>
      </w:r>
      <w:r w:rsidR="00EF7A46">
        <w:t xml:space="preserve">’11% </w:t>
      </w:r>
      <w:r w:rsidR="00132F79">
        <w:t>di quest</w:t>
      </w:r>
      <w:r w:rsidR="00B44C0E">
        <w:t xml:space="preserve">o </w:t>
      </w:r>
      <w:r w:rsidR="004C1266">
        <w:t xml:space="preserve">universo </w:t>
      </w:r>
      <w:r w:rsidR="008120E7">
        <w:t>i</w:t>
      </w:r>
      <w:r w:rsidR="00B44C0E">
        <w:t xml:space="preserve">mprenditoriale </w:t>
      </w:r>
      <w:r w:rsidR="00B154EF">
        <w:t xml:space="preserve">è pronto </w:t>
      </w:r>
      <w:r w:rsidR="00226D04">
        <w:t>a fare il salto nella quarta rivoluzione industriale</w:t>
      </w:r>
      <w:r w:rsidR="00B154EF">
        <w:t>,</w:t>
      </w:r>
      <w:r w:rsidR="00166532" w:rsidRPr="00166532">
        <w:t xml:space="preserve"> </w:t>
      </w:r>
      <w:r>
        <w:t>36mila imprese</w:t>
      </w:r>
      <w:r w:rsidR="00132F79">
        <w:t xml:space="preserve"> </w:t>
      </w:r>
      <w:r w:rsidR="00EF7A46">
        <w:t>preved</w:t>
      </w:r>
      <w:r w:rsidR="00166532">
        <w:t>ono</w:t>
      </w:r>
      <w:r w:rsidR="00EF7A46">
        <w:t xml:space="preserve"> </w:t>
      </w:r>
      <w:r w:rsidR="00166532">
        <w:t xml:space="preserve">infatti </w:t>
      </w:r>
      <w:r w:rsidR="00EF7A46">
        <w:t>di iniziare ad investire in tecnologie 4.0</w:t>
      </w:r>
      <w:r w:rsidR="00B154EF" w:rsidRPr="00B154EF">
        <w:t xml:space="preserve"> </w:t>
      </w:r>
      <w:r w:rsidR="00B154EF">
        <w:t>tra il 2022 e il 2024</w:t>
      </w:r>
      <w:r w:rsidR="00EF7A46">
        <w:t>. Una svolta che sarà più forte</w:t>
      </w:r>
      <w:r>
        <w:t xml:space="preserve"> </w:t>
      </w:r>
      <w:r w:rsidR="00132F79">
        <w:t xml:space="preserve">al </w:t>
      </w:r>
      <w:r w:rsidR="008120E7">
        <w:t>Sud</w:t>
      </w:r>
      <w:r w:rsidR="008A4862">
        <w:t xml:space="preserve">, dove </w:t>
      </w:r>
      <w:r w:rsidR="00EF7A46">
        <w:t xml:space="preserve">il 13% </w:t>
      </w:r>
      <w:r>
        <w:t>d</w:t>
      </w:r>
      <w:r w:rsidR="00EF7A46">
        <w:t>elle imprese inizierà a virare verso l</w:t>
      </w:r>
      <w:r w:rsidR="00AF545E">
        <w:t>e</w:t>
      </w:r>
      <w:r w:rsidR="00EF7A46">
        <w:t xml:space="preserve"> </w:t>
      </w:r>
      <w:r w:rsidR="00132F79">
        <w:t>nuov</w:t>
      </w:r>
      <w:r w:rsidR="00AF545E">
        <w:t>e</w:t>
      </w:r>
      <w:r w:rsidR="00132F79">
        <w:t xml:space="preserve"> </w:t>
      </w:r>
      <w:r w:rsidR="00EF7A46">
        <w:t>frontier</w:t>
      </w:r>
      <w:r w:rsidR="00AF545E">
        <w:t>e</w:t>
      </w:r>
      <w:r w:rsidR="00EF7A46">
        <w:t xml:space="preserve"> </w:t>
      </w:r>
      <w:r w:rsidR="00132F79">
        <w:t>digital</w:t>
      </w:r>
      <w:r w:rsidR="00AF545E">
        <w:t>i</w:t>
      </w:r>
      <w:r w:rsidR="00EF7A46">
        <w:t xml:space="preserve"> contro il 10% del Centro-Nord</w:t>
      </w:r>
      <w:r w:rsidR="008A4862">
        <w:t>.</w:t>
      </w:r>
      <w:r w:rsidR="00AF545E">
        <w:t xml:space="preserve"> Sono in particolare le imprese con più di quarant’anni di attività a sentire il bisogno di un cambio di passo </w:t>
      </w:r>
      <w:r w:rsidR="00E34683">
        <w:t xml:space="preserve">per rinnovarsi </w:t>
      </w:r>
      <w:r w:rsidR="00AF545E">
        <w:t>(14% contro il 10% di quelle con minore anzianità).</w:t>
      </w:r>
      <w:r w:rsidR="00AF545E" w:rsidRPr="00A955D2">
        <w:t xml:space="preserve"> </w:t>
      </w:r>
      <w:r w:rsidR="00E34683">
        <w:t xml:space="preserve">Ed è soprattutto </w:t>
      </w:r>
      <w:r w:rsidR="00132F79">
        <w:t xml:space="preserve">il settore alimentare </w:t>
      </w:r>
      <w:r w:rsidR="004C1266">
        <w:t xml:space="preserve">a rivelarsi </w:t>
      </w:r>
      <w:r w:rsidR="00E34683">
        <w:t>più</w:t>
      </w:r>
      <w:r w:rsidR="000B5C60">
        <w:t xml:space="preserve"> inclin</w:t>
      </w:r>
      <w:r w:rsidR="00E34683">
        <w:t>e</w:t>
      </w:r>
      <w:r w:rsidR="00132F79">
        <w:t xml:space="preserve"> </w:t>
      </w:r>
      <w:r w:rsidR="000B5C60">
        <w:t>a</w:t>
      </w:r>
      <w:r w:rsidR="00406013">
        <w:t xml:space="preserve">d </w:t>
      </w:r>
      <w:r w:rsidR="004E711A">
        <w:t xml:space="preserve">intraprendere questa trasformazione </w:t>
      </w:r>
      <w:r w:rsidR="000B5C60">
        <w:t>(16%)</w:t>
      </w:r>
      <w:r w:rsidR="00E34683">
        <w:t xml:space="preserve">. </w:t>
      </w:r>
    </w:p>
    <w:p w14:paraId="265CF5E4" w14:textId="77777777" w:rsidR="00E34683" w:rsidRDefault="00E34683" w:rsidP="006B0671">
      <w:pPr>
        <w:jc w:val="both"/>
      </w:pPr>
    </w:p>
    <w:p w14:paraId="3889022D" w14:textId="02B2A803" w:rsidR="00746A61" w:rsidRDefault="000E61E1" w:rsidP="006B0671">
      <w:pPr>
        <w:jc w:val="both"/>
      </w:pPr>
      <w:r>
        <w:t xml:space="preserve">Nel prossimo </w:t>
      </w:r>
      <w:r w:rsidR="004E711A">
        <w:t>triennio</w:t>
      </w:r>
      <w:r>
        <w:t xml:space="preserve"> salirà così al 40% la quota</w:t>
      </w:r>
      <w:r w:rsidR="00742396">
        <w:t xml:space="preserve"> </w:t>
      </w:r>
      <w:r>
        <w:t xml:space="preserve">delle imprese </w:t>
      </w:r>
      <w:r w:rsidR="004E711A">
        <w:t xml:space="preserve">4.0 </w:t>
      </w:r>
      <w:r>
        <w:t xml:space="preserve">che nel complesso sfioreranno </w:t>
      </w:r>
      <w:r w:rsidR="00B154EF">
        <w:t xml:space="preserve">le 200 mila </w:t>
      </w:r>
      <w:r>
        <w:t xml:space="preserve">unità. </w:t>
      </w:r>
      <w:r w:rsidR="00742396">
        <w:t>L</w:t>
      </w:r>
      <w:r w:rsidR="00A955D2">
        <w:t xml:space="preserve">e 36 mila imprese che </w:t>
      </w:r>
      <w:r w:rsidR="0016115D">
        <w:t>esordiranno entro il 2024 con</w:t>
      </w:r>
      <w:r w:rsidR="00A955D2">
        <w:t xml:space="preserve"> </w:t>
      </w:r>
      <w:r w:rsidR="0016115D">
        <w:t xml:space="preserve">investimenti nelle tecnologie abilitanti </w:t>
      </w:r>
      <w:r w:rsidR="00742396">
        <w:t>si aggiungeranno</w:t>
      </w:r>
      <w:r w:rsidR="0016115D">
        <w:t>,</w:t>
      </w:r>
      <w:r w:rsidR="00742396">
        <w:t xml:space="preserve"> infatti</w:t>
      </w:r>
      <w:r w:rsidR="0016115D">
        <w:t>,</w:t>
      </w:r>
      <w:r w:rsidR="00742396">
        <w:t xml:space="preserve"> alle </w:t>
      </w:r>
      <w:r w:rsidR="00A955D2">
        <w:t xml:space="preserve">162 mila imprese che </w:t>
      </w:r>
      <w:r w:rsidR="005D0418">
        <w:t xml:space="preserve">le </w:t>
      </w:r>
      <w:r w:rsidR="00A955D2">
        <w:t xml:space="preserve">hanno già </w:t>
      </w:r>
      <w:r w:rsidR="005D0418">
        <w:t>adottate</w:t>
      </w:r>
      <w:r w:rsidR="0016115D">
        <w:t xml:space="preserve">. </w:t>
      </w:r>
    </w:p>
    <w:p w14:paraId="7B4850F7" w14:textId="77777777" w:rsidR="0016115D" w:rsidRDefault="0016115D" w:rsidP="006B0671">
      <w:pPr>
        <w:jc w:val="both"/>
      </w:pPr>
    </w:p>
    <w:p w14:paraId="3F57ADC2" w14:textId="5629DD41" w:rsidR="00592CD1" w:rsidRPr="006B0671" w:rsidRDefault="00592CD1" w:rsidP="006B0671">
      <w:pPr>
        <w:spacing w:line="240" w:lineRule="auto"/>
        <w:jc w:val="both"/>
      </w:pPr>
      <w:r w:rsidRPr="00592CD1">
        <w:t xml:space="preserve">Questi risultati sono anche il frutto dei tanti benefici che </w:t>
      </w:r>
      <w:r w:rsidR="00F3676A">
        <w:t xml:space="preserve">la transizione digitale è </w:t>
      </w:r>
      <w:r w:rsidRPr="00592CD1">
        <w:t xml:space="preserve">in grado portare dentro l’azienda. Infatti, circa 2 imprese su 5 che hanno già avuto modo di investire nel </w:t>
      </w:r>
      <w:r w:rsidR="00F3676A">
        <w:t xml:space="preserve">4.0 </w:t>
      </w:r>
      <w:r w:rsidRPr="00592CD1">
        <w:t>ha</w:t>
      </w:r>
      <w:r w:rsidR="00A925AC">
        <w:t>nno</w:t>
      </w:r>
      <w:r w:rsidRPr="00592CD1">
        <w:t xml:space="preserve"> dichiarato aument</w:t>
      </w:r>
      <w:r w:rsidR="00A925AC">
        <w:t>i</w:t>
      </w:r>
      <w:r w:rsidRPr="00592CD1">
        <w:t xml:space="preserve"> </w:t>
      </w:r>
      <w:r w:rsidR="00A925AC">
        <w:t>del</w:t>
      </w:r>
      <w:r w:rsidRPr="00592CD1">
        <w:t>la produttività dei processi produttivi (</w:t>
      </w:r>
      <w:r w:rsidR="00A925AC">
        <w:t xml:space="preserve">in termini, ad esempio, di </w:t>
      </w:r>
      <w:r w:rsidRPr="00592CD1">
        <w:t>minori tempi di set-up, errori</w:t>
      </w:r>
      <w:r w:rsidR="006F6150">
        <w:t xml:space="preserve"> e</w:t>
      </w:r>
      <w:r w:rsidRPr="00592CD1">
        <w:t xml:space="preserve"> fermi macchina) e delle risorse umane</w:t>
      </w:r>
      <w:r w:rsidR="00A925AC">
        <w:t>.</w:t>
      </w:r>
      <w:r w:rsidRPr="00592CD1">
        <w:t xml:space="preserve"> </w:t>
      </w:r>
      <w:r w:rsidR="00A925AC">
        <w:t xml:space="preserve">Mentre </w:t>
      </w:r>
      <w:r w:rsidRPr="00592CD1">
        <w:t xml:space="preserve">una </w:t>
      </w:r>
      <w:r w:rsidRPr="0016115D">
        <w:t xml:space="preserve">su tre ha </w:t>
      </w:r>
      <w:r w:rsidR="00A925AC" w:rsidRPr="0016115D">
        <w:t xml:space="preserve">evidenziato un </w:t>
      </w:r>
      <w:r w:rsidR="006F6150" w:rsidRPr="0016115D">
        <w:t>aumento della</w:t>
      </w:r>
      <w:r w:rsidRPr="0016115D">
        <w:t xml:space="preserve"> velocità di produzione</w:t>
      </w:r>
      <w:r w:rsidR="00F17850" w:rsidRPr="0016115D">
        <w:t xml:space="preserve"> (passaggio più veloce dal </w:t>
      </w:r>
      <w:r w:rsidR="00F17850" w:rsidRPr="006B0671">
        <w:t>prototipo alla produzione in serie)</w:t>
      </w:r>
      <w:r w:rsidRPr="006B0671">
        <w:t xml:space="preserve"> e </w:t>
      </w:r>
      <w:r w:rsidR="006F6150" w:rsidRPr="006B0671">
        <w:t>della</w:t>
      </w:r>
      <w:r w:rsidRPr="006B0671">
        <w:t xml:space="preserve"> competitività </w:t>
      </w:r>
      <w:r w:rsidR="00F17850" w:rsidRPr="006B0671">
        <w:t xml:space="preserve">facendo leva sull’Internet of </w:t>
      </w:r>
      <w:proofErr w:type="spellStart"/>
      <w:r w:rsidR="00F17850" w:rsidRPr="006B0671">
        <w:t>Things</w:t>
      </w:r>
      <w:proofErr w:type="spellEnd"/>
      <w:r w:rsidR="00F17850" w:rsidRPr="006B0671">
        <w:t>.</w:t>
      </w:r>
    </w:p>
    <w:p w14:paraId="21CC79AA" w14:textId="6FD12EB4" w:rsidR="00952B60" w:rsidRDefault="00952B60" w:rsidP="006B0671">
      <w:pPr>
        <w:spacing w:line="240" w:lineRule="auto"/>
        <w:jc w:val="both"/>
      </w:pPr>
      <w:r w:rsidRPr="006B0671">
        <w:t xml:space="preserve">Più in particolare, il 43% delle imprese che hanno aumentato i servizi alla clientela grazie all’Internet of </w:t>
      </w:r>
      <w:proofErr w:type="spellStart"/>
      <w:r w:rsidRPr="006B0671">
        <w:t>Things</w:t>
      </w:r>
      <w:proofErr w:type="spellEnd"/>
      <w:r w:rsidRPr="006B0671">
        <w:t xml:space="preserve"> prevede di superare quest'anno i livelli produttivi </w:t>
      </w:r>
      <w:proofErr w:type="spellStart"/>
      <w:r w:rsidRPr="006B0671">
        <w:t>pre</w:t>
      </w:r>
      <w:proofErr w:type="spellEnd"/>
      <w:r w:rsidRPr="006B0671">
        <w:t>-Covid contro il 24% delle imprese</w:t>
      </w:r>
      <w:r w:rsidR="008001CC">
        <w:t xml:space="preserve"> 4.0</w:t>
      </w:r>
      <w:r w:rsidRPr="006B0671">
        <w:t xml:space="preserve"> che non hanno seguito questa strategia.</w:t>
      </w:r>
    </w:p>
    <w:p w14:paraId="1F19D85D" w14:textId="3D8E21C8" w:rsidR="00D47CDF" w:rsidRDefault="00D47CDF" w:rsidP="006B0671">
      <w:pPr>
        <w:spacing w:line="240" w:lineRule="auto"/>
        <w:jc w:val="both"/>
      </w:pPr>
    </w:p>
    <w:p w14:paraId="41EF9FA8" w14:textId="0882151D" w:rsidR="006D0EF1" w:rsidRDefault="006D0EF1" w:rsidP="00A8231F">
      <w:pPr>
        <w:spacing w:line="240" w:lineRule="auto"/>
        <w:jc w:val="both"/>
      </w:pPr>
    </w:p>
    <w:p w14:paraId="76955D25" w14:textId="510804D1" w:rsidR="004B22E3" w:rsidRPr="004B22E3" w:rsidRDefault="004B22E3" w:rsidP="004B22E3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  <w:r w:rsidRPr="004B22E3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Distribuzione percentuale delle imprese secondo l'adozione di tecnologie 4.0</w:t>
      </w:r>
    </w:p>
    <w:p w14:paraId="614AE8ED" w14:textId="2307D0DA" w:rsidR="003C1E68" w:rsidRDefault="004B22E3" w:rsidP="004B22E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val="it-IT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val="it-IT"/>
        </w:rPr>
        <w:drawing>
          <wp:inline distT="0" distB="0" distL="0" distR="0" wp14:anchorId="4B8308E1" wp14:editId="1F583EC7">
            <wp:extent cx="3800955" cy="2340000"/>
            <wp:effectExtent l="0" t="0" r="9525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955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19106" w14:textId="77777777" w:rsidR="004B22E3" w:rsidRPr="0010757D" w:rsidRDefault="004B22E3" w:rsidP="006A2C60">
      <w:pPr>
        <w:spacing w:before="120" w:line="240" w:lineRule="auto"/>
        <w:rPr>
          <w:rFonts w:ascii="Calibri" w:eastAsia="Times New Roman" w:hAnsi="Calibri" w:cs="Calibri"/>
          <w:i/>
          <w:iCs/>
          <w:color w:val="000000"/>
          <w:lang w:val="it-IT"/>
        </w:rPr>
      </w:pPr>
      <w:bookmarkStart w:id="1" w:name="_Hlk112411384"/>
      <w:r w:rsidRPr="004B22E3">
        <w:rPr>
          <w:rFonts w:ascii="Calibri" w:eastAsia="Times New Roman" w:hAnsi="Calibri" w:cs="Calibri"/>
          <w:i/>
          <w:iCs/>
          <w:color w:val="000000"/>
          <w:lang w:val="it-IT"/>
        </w:rPr>
        <w:t>Fonte: indagine Centro Studi Tagliacarne-Unioncamere sulle imprese manifatturiere e dei servizi 5-499 addetti, 2022</w:t>
      </w:r>
    </w:p>
    <w:bookmarkEnd w:id="1"/>
    <w:p w14:paraId="6C790AFE" w14:textId="7AA7A0DD" w:rsidR="004B22E3" w:rsidRDefault="004B22E3" w:rsidP="004B22E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26A45539" w14:textId="034A8774" w:rsidR="00310F73" w:rsidRDefault="00310F73" w:rsidP="004B22E3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</w:p>
    <w:p w14:paraId="5D3B2E7A" w14:textId="4272E726" w:rsidR="00104896" w:rsidRDefault="00104896" w:rsidP="004B22E3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</w:p>
    <w:p w14:paraId="4D1A6BB4" w14:textId="77777777" w:rsidR="00104896" w:rsidRDefault="00104896" w:rsidP="004B22E3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</w:p>
    <w:p w14:paraId="3CFE674A" w14:textId="39164284" w:rsidR="00310F73" w:rsidRDefault="00310F73" w:rsidP="00310F73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Numero di i</w:t>
      </w:r>
      <w:r w:rsidRPr="00310F73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mprese secondo l'adozione di tecnologie 4.0</w:t>
      </w:r>
      <w:r w:rsidR="006D0EF1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 </w:t>
      </w:r>
    </w:p>
    <w:p w14:paraId="37933F6F" w14:textId="3B7B10F4" w:rsidR="00310F73" w:rsidRDefault="00B41309" w:rsidP="006D0E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val="it-IT"/>
        </w:rPr>
        <w:drawing>
          <wp:inline distT="0" distB="0" distL="0" distR="0" wp14:anchorId="7626D860" wp14:editId="624CA978">
            <wp:extent cx="3816000" cy="221086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2210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A1715" w14:textId="3F0ED703" w:rsidR="00310F73" w:rsidRDefault="00310F73" w:rsidP="004B22E3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  <w:r w:rsidRPr="004B22E3">
        <w:rPr>
          <w:rFonts w:ascii="Calibri" w:eastAsia="Times New Roman" w:hAnsi="Calibri" w:cs="Calibri"/>
          <w:i/>
          <w:iCs/>
          <w:color w:val="000000"/>
          <w:lang w:val="it-IT"/>
        </w:rPr>
        <w:t>Fonte: indagine Centro Studi Tagliacarne-Unioncamere sulle imprese manifatturiere e dei servizi 5-499 addetti, 2022</w:t>
      </w:r>
    </w:p>
    <w:p w14:paraId="16A15A3B" w14:textId="77777777" w:rsidR="00310F73" w:rsidRDefault="00310F73" w:rsidP="004B22E3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</w:p>
    <w:p w14:paraId="2DF41014" w14:textId="77777777" w:rsidR="00310F73" w:rsidRDefault="00310F73" w:rsidP="004B22E3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</w:p>
    <w:p w14:paraId="60D7DBFA" w14:textId="20840FD6" w:rsidR="004B22E3" w:rsidRDefault="004B22E3" w:rsidP="004B22E3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  <w:r w:rsidRPr="004B22E3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Imprese che inizieranno </w:t>
      </w:r>
      <w:proofErr w:type="gramStart"/>
      <w:r w:rsidRPr="004B22E3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ad</w:t>
      </w:r>
      <w:proofErr w:type="gramEnd"/>
      <w:r w:rsidRPr="004B22E3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 adottare tecnologie 4.0 nel triennio 2022-24</w:t>
      </w:r>
    </w:p>
    <w:p w14:paraId="6CCF99F9" w14:textId="71798A16" w:rsidR="004B22E3" w:rsidRPr="004B22E3" w:rsidRDefault="004B22E3" w:rsidP="004B22E3">
      <w:pPr>
        <w:spacing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</w:pPr>
      <w:r w:rsidRPr="004B22E3"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  <w:t>(% sul totale delle imprese che al 2021 non le hanno ancora adottate)</w:t>
      </w:r>
      <w:r w:rsidR="00B77868">
        <w:rPr>
          <w:rFonts w:ascii="Calibri" w:eastAsia="Times New Roman" w:hAnsi="Calibri" w:cs="Calibri"/>
          <w:i/>
          <w:iCs/>
          <w:color w:val="000000"/>
          <w:sz w:val="24"/>
          <w:szCs w:val="24"/>
          <w:lang w:val="it-IT"/>
        </w:rPr>
        <w:t xml:space="preserve"> </w:t>
      </w:r>
    </w:p>
    <w:p w14:paraId="717C2584" w14:textId="451AE790" w:rsidR="0046645B" w:rsidRDefault="006A2C60" w:rsidP="0010757D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val="it-IT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val="it-IT"/>
        </w:rPr>
        <w:drawing>
          <wp:inline distT="0" distB="0" distL="0" distR="0" wp14:anchorId="1886F541" wp14:editId="665C0EF3">
            <wp:extent cx="3800955" cy="2340000"/>
            <wp:effectExtent l="0" t="0" r="9525" b="317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955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085E4" w14:textId="77777777" w:rsidR="0010757D" w:rsidRPr="0010757D" w:rsidRDefault="0010757D" w:rsidP="006A2C60">
      <w:pPr>
        <w:spacing w:before="120" w:line="240" w:lineRule="auto"/>
        <w:rPr>
          <w:rFonts w:ascii="Calibri" w:eastAsia="Times New Roman" w:hAnsi="Calibri" w:cs="Calibri"/>
          <w:i/>
          <w:iCs/>
          <w:color w:val="000000"/>
          <w:lang w:val="it-IT"/>
        </w:rPr>
      </w:pPr>
      <w:bookmarkStart w:id="2" w:name="_Hlk112411977"/>
      <w:r w:rsidRPr="004B22E3">
        <w:rPr>
          <w:rFonts w:ascii="Calibri" w:eastAsia="Times New Roman" w:hAnsi="Calibri" w:cs="Calibri"/>
          <w:i/>
          <w:iCs/>
          <w:color w:val="000000"/>
          <w:lang w:val="it-IT"/>
        </w:rPr>
        <w:t>Fonte: indagine Centro Studi Tagliacarne-Unioncamere sulle imprese manifatturiere e dei servizi 5-499 addetti, 2022</w:t>
      </w:r>
    </w:p>
    <w:bookmarkEnd w:id="2"/>
    <w:p w14:paraId="68957B72" w14:textId="09A2BC80" w:rsidR="0046645B" w:rsidRDefault="0046645B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43262163" w14:textId="28DBB738" w:rsidR="00104896" w:rsidRDefault="00104896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1010BA89" w14:textId="6CD0CF6A" w:rsidR="00104896" w:rsidRDefault="00104896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21B217CF" w14:textId="4848353E" w:rsidR="00104896" w:rsidRDefault="00104896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152F6B96" w14:textId="77777777" w:rsidR="00104896" w:rsidRDefault="00104896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2B91DF1C" w14:textId="16290905" w:rsidR="00310F73" w:rsidRDefault="00310F73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5710E5A5" w14:textId="05B34FC7" w:rsidR="006D0C94" w:rsidRPr="006D0C94" w:rsidRDefault="006D0C94" w:rsidP="006D0C94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  <w:r w:rsidRPr="006D0C94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Performance previste nel 2022 dalle imprese che inizieranno </w:t>
      </w:r>
      <w:proofErr w:type="gramStart"/>
      <w:r w:rsidRPr="006D0C94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ad</w:t>
      </w:r>
      <w:proofErr w:type="gramEnd"/>
      <w:r w:rsidRPr="006D0C94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 adottare tecnologie 4.0 nel triennio 2022-24 a confronto con quelle che non le adotteranno</w:t>
      </w:r>
    </w:p>
    <w:p w14:paraId="3F4BC21C" w14:textId="3E46D4E4" w:rsidR="00310F73" w:rsidRDefault="00310F73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3E620286" w14:textId="32D035F8" w:rsidR="006D0C94" w:rsidRDefault="00B41309" w:rsidP="006D0E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val="it-IT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val="it-IT"/>
        </w:rPr>
        <w:drawing>
          <wp:inline distT="0" distB="0" distL="0" distR="0" wp14:anchorId="6706C6FC" wp14:editId="077337D8">
            <wp:extent cx="3816000" cy="217379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217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C41C3" w14:textId="77777777" w:rsidR="00B41309" w:rsidRPr="00662F42" w:rsidRDefault="006D0C94" w:rsidP="006D0C94">
      <w:pPr>
        <w:spacing w:before="120" w:line="240" w:lineRule="auto"/>
        <w:rPr>
          <w:rFonts w:ascii="Calibri" w:eastAsia="Times New Roman" w:hAnsi="Calibri" w:cs="Calibri"/>
          <w:color w:val="000000"/>
          <w:sz w:val="18"/>
          <w:szCs w:val="18"/>
          <w:lang w:val="it-IT"/>
        </w:rPr>
      </w:pPr>
      <w:r w:rsidRPr="00662F42">
        <w:rPr>
          <w:rFonts w:ascii="Calibri" w:eastAsia="Times New Roman" w:hAnsi="Calibri" w:cs="Calibri"/>
          <w:color w:val="000000"/>
          <w:sz w:val="18"/>
          <w:szCs w:val="18"/>
          <w:lang w:val="it-IT"/>
        </w:rPr>
        <w:t>* sul totale delle rispettive imprese esportatrici</w:t>
      </w:r>
    </w:p>
    <w:p w14:paraId="78A28040" w14:textId="28811EED" w:rsidR="006D0C94" w:rsidRPr="00B41309" w:rsidRDefault="006D0C94" w:rsidP="006D0C94">
      <w:pPr>
        <w:spacing w:before="12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it-IT"/>
        </w:rPr>
      </w:pPr>
      <w:r w:rsidRPr="004B22E3">
        <w:rPr>
          <w:rFonts w:ascii="Calibri" w:eastAsia="Times New Roman" w:hAnsi="Calibri" w:cs="Calibri"/>
          <w:i/>
          <w:iCs/>
          <w:color w:val="000000"/>
          <w:lang w:val="it-IT"/>
        </w:rPr>
        <w:t>Fonte: indagine Centro Studi Tagliacarne-Unioncamere sulle imprese manifatturiere e dei servizi 5-499 addetti, 2022</w:t>
      </w:r>
    </w:p>
    <w:p w14:paraId="3BFDB249" w14:textId="0EAD7E2D" w:rsidR="0010757D" w:rsidRDefault="0010757D" w:rsidP="003C1E68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lang w:val="it-IT"/>
        </w:rPr>
      </w:pPr>
    </w:p>
    <w:p w14:paraId="4A25A561" w14:textId="78CDC80A" w:rsidR="006D0EF1" w:rsidRDefault="006D0EF1" w:rsidP="0010757D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</w:p>
    <w:p w14:paraId="098027FD" w14:textId="77777777" w:rsidR="00C33E29" w:rsidRDefault="00C33E29" w:rsidP="0010757D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</w:pPr>
    </w:p>
    <w:p w14:paraId="2D268111" w14:textId="4B082F7A" w:rsidR="0046645B" w:rsidRDefault="0010757D" w:rsidP="0010757D">
      <w:pPr>
        <w:spacing w:line="240" w:lineRule="auto"/>
        <w:jc w:val="both"/>
        <w:rPr>
          <w:rFonts w:ascii="Calibri" w:eastAsia="Times New Roman" w:hAnsi="Calibri" w:cs="Calibri"/>
          <w:b/>
          <w:bCs/>
          <w:noProof/>
          <w:color w:val="000000"/>
          <w:lang w:val="it-IT"/>
        </w:rPr>
      </w:pPr>
      <w:r w:rsidRPr="0010757D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Gli investimenti nel capitale umano previsti dalle imprese che inizieranno </w:t>
      </w:r>
      <w:proofErr w:type="gramStart"/>
      <w:r w:rsidRPr="0010757D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ad</w:t>
      </w:r>
      <w:proofErr w:type="gramEnd"/>
      <w:r w:rsidRPr="0010757D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 adottare tecnologie 4.0 nel triennio 2022-24 a confronto con quelle che non le adotteranno</w:t>
      </w:r>
      <w:r w:rsidR="006D0EF1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 </w:t>
      </w:r>
    </w:p>
    <w:p w14:paraId="44C5B7F9" w14:textId="13778B17" w:rsidR="006A2C60" w:rsidRDefault="00B41309" w:rsidP="006A2C60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val="it-IT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val="it-IT"/>
        </w:rPr>
        <w:drawing>
          <wp:inline distT="0" distB="0" distL="0" distR="0" wp14:anchorId="392BD947" wp14:editId="662410AD">
            <wp:extent cx="3816000" cy="2228060"/>
            <wp:effectExtent l="0" t="0" r="0" b="127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222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3F63C" w14:textId="50F937F0" w:rsidR="0010757D" w:rsidRDefault="0010757D" w:rsidP="00B41309">
      <w:pPr>
        <w:rPr>
          <w:rFonts w:ascii="Calibri" w:eastAsia="Times New Roman" w:hAnsi="Calibri" w:cs="Calibri"/>
          <w:i/>
          <w:iCs/>
          <w:color w:val="000000"/>
          <w:lang w:val="it-IT"/>
        </w:rPr>
      </w:pPr>
      <w:r w:rsidRPr="004B22E3">
        <w:rPr>
          <w:rFonts w:ascii="Calibri" w:eastAsia="Times New Roman" w:hAnsi="Calibri" w:cs="Calibri"/>
          <w:i/>
          <w:iCs/>
          <w:color w:val="000000"/>
          <w:lang w:val="it-IT"/>
        </w:rPr>
        <w:t>Fonte: indagine Centro Studi Tagliacarne-Unioncamere sulle imprese manifatturiere e dei servizi 5-499 addetti, 2022</w:t>
      </w:r>
    </w:p>
    <w:p w14:paraId="03E3E595" w14:textId="58EB2E1D" w:rsidR="002F1D0F" w:rsidRDefault="002F1D0F" w:rsidP="00B41309">
      <w:pPr>
        <w:rPr>
          <w:rFonts w:ascii="Calibri" w:eastAsia="Times New Roman" w:hAnsi="Calibri" w:cs="Calibri"/>
          <w:i/>
          <w:iCs/>
          <w:color w:val="000000"/>
          <w:lang w:val="it-IT"/>
        </w:rPr>
      </w:pPr>
    </w:p>
    <w:p w14:paraId="5154F616" w14:textId="437184E1" w:rsidR="002F1D0F" w:rsidRDefault="002F1D0F" w:rsidP="00B41309">
      <w:pPr>
        <w:rPr>
          <w:rFonts w:ascii="Calibri" w:eastAsia="Times New Roman" w:hAnsi="Calibri" w:cs="Calibri"/>
          <w:i/>
          <w:iCs/>
          <w:color w:val="000000"/>
          <w:lang w:val="it-IT"/>
        </w:rPr>
      </w:pPr>
    </w:p>
    <w:p w14:paraId="7503923D" w14:textId="250E1A95" w:rsidR="002F1D0F" w:rsidRDefault="002F1D0F" w:rsidP="00B41309">
      <w:pPr>
        <w:rPr>
          <w:rFonts w:ascii="Calibri" w:eastAsia="Times New Roman" w:hAnsi="Calibri" w:cs="Calibri"/>
          <w:i/>
          <w:iCs/>
          <w:color w:val="000000"/>
          <w:lang w:val="it-IT"/>
        </w:rPr>
      </w:pPr>
    </w:p>
    <w:p w14:paraId="6A31EDF3" w14:textId="57A19E02" w:rsidR="002F1D0F" w:rsidRDefault="002F1D0F" w:rsidP="002F1D0F">
      <w:pPr>
        <w:spacing w:line="240" w:lineRule="auto"/>
        <w:jc w:val="both"/>
        <w:rPr>
          <w:rFonts w:ascii="Calibri" w:eastAsia="Times New Roman" w:hAnsi="Calibri" w:cs="Calibri"/>
          <w:b/>
          <w:bCs/>
          <w:noProof/>
          <w:color w:val="000000"/>
          <w:lang w:val="it-IT"/>
        </w:rPr>
      </w:pPr>
      <w:r w:rsidRPr="008001CC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Le tecnologie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 su cui punteranno le </w:t>
      </w:r>
      <w:r w:rsidRPr="0010757D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imprese che </w:t>
      </w:r>
      <w:r w:rsidR="008001CC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>avvieranno investimenti</w:t>
      </w:r>
      <w:r w:rsidRPr="0010757D">
        <w:rPr>
          <w:rFonts w:ascii="Calibri" w:eastAsia="Times New Roman" w:hAnsi="Calibri" w:cs="Calibri"/>
          <w:b/>
          <w:bCs/>
          <w:color w:val="000000"/>
          <w:sz w:val="24"/>
          <w:szCs w:val="24"/>
          <w:lang w:val="it-IT"/>
        </w:rPr>
        <w:t xml:space="preserve"> 4.0 nel triennio 2022-24</w:t>
      </w:r>
    </w:p>
    <w:p w14:paraId="3DE77FC7" w14:textId="3FBD4815" w:rsidR="002F1D0F" w:rsidRDefault="002F1D0F" w:rsidP="00B41309">
      <w:pPr>
        <w:rPr>
          <w:rFonts w:ascii="Calibri" w:eastAsia="Times New Roman" w:hAnsi="Calibri" w:cs="Calibri"/>
          <w:noProof/>
          <w:lang w:val="it-IT"/>
        </w:rPr>
      </w:pPr>
      <w:r>
        <w:rPr>
          <w:rFonts w:ascii="Calibri" w:eastAsia="Times New Roman" w:hAnsi="Calibri" w:cs="Calibri"/>
          <w:noProof/>
          <w:lang w:val="it-IT"/>
        </w:rPr>
        <w:drawing>
          <wp:inline distT="0" distB="0" distL="0" distR="0" wp14:anchorId="4B4F88A7" wp14:editId="5A8CE6C2">
            <wp:extent cx="5700671" cy="2743142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93" cy="2752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313E9" w14:textId="2B939300" w:rsidR="002F1D0F" w:rsidRPr="002F1D0F" w:rsidRDefault="002F1D0F" w:rsidP="002F1D0F">
      <w:pPr>
        <w:rPr>
          <w:rFonts w:ascii="Calibri" w:eastAsia="Times New Roman" w:hAnsi="Calibri" w:cs="Calibri"/>
          <w:noProof/>
          <w:sz w:val="20"/>
          <w:szCs w:val="20"/>
          <w:lang w:val="it-IT"/>
        </w:rPr>
      </w:pPr>
      <w:r w:rsidRPr="002F1D0F">
        <w:rPr>
          <w:rFonts w:ascii="Calibri" w:eastAsia="Times New Roman" w:hAnsi="Calibri" w:cs="Calibri"/>
          <w:noProof/>
          <w:sz w:val="20"/>
          <w:szCs w:val="20"/>
          <w:lang w:val="it-IT"/>
        </w:rPr>
        <w:t>Domanda a risposta multipla.</w:t>
      </w:r>
    </w:p>
    <w:p w14:paraId="0ED58DAA" w14:textId="77777777" w:rsidR="002F1D0F" w:rsidRDefault="002F1D0F" w:rsidP="002F1D0F">
      <w:pPr>
        <w:rPr>
          <w:rFonts w:ascii="Calibri" w:eastAsia="Times New Roman" w:hAnsi="Calibri" w:cs="Calibri"/>
          <w:i/>
          <w:iCs/>
          <w:color w:val="000000"/>
          <w:lang w:val="it-IT"/>
        </w:rPr>
      </w:pPr>
      <w:r w:rsidRPr="004B22E3">
        <w:rPr>
          <w:rFonts w:ascii="Calibri" w:eastAsia="Times New Roman" w:hAnsi="Calibri" w:cs="Calibri"/>
          <w:i/>
          <w:iCs/>
          <w:color w:val="000000"/>
          <w:lang w:val="it-IT"/>
        </w:rPr>
        <w:t>Fonte: indagine Centro Studi Tagliacarne-Unioncamere sulle imprese manifatturiere e dei servizi 5-499 addetti, 2022</w:t>
      </w:r>
    </w:p>
    <w:p w14:paraId="62116884" w14:textId="41E52552" w:rsidR="002F1D0F" w:rsidRPr="002F1D0F" w:rsidRDefault="002F1D0F" w:rsidP="002F1D0F">
      <w:pPr>
        <w:tabs>
          <w:tab w:val="left" w:pos="1277"/>
        </w:tabs>
        <w:rPr>
          <w:rFonts w:ascii="Calibri" w:eastAsia="Times New Roman" w:hAnsi="Calibri" w:cs="Calibri"/>
          <w:lang w:val="it-IT"/>
        </w:rPr>
      </w:pPr>
    </w:p>
    <w:sectPr w:rsidR="002F1D0F" w:rsidRPr="002F1D0F">
      <w:headerReference w:type="default" r:id="rId14"/>
      <w:footerReference w:type="default" r:id="rId15"/>
      <w:pgSz w:w="11909" w:h="16834"/>
      <w:pgMar w:top="2692" w:right="1440" w:bottom="1440" w:left="144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06A8" w14:textId="77777777" w:rsidR="00344F43" w:rsidRDefault="00344F43">
      <w:pPr>
        <w:spacing w:line="240" w:lineRule="auto"/>
      </w:pPr>
      <w:r>
        <w:separator/>
      </w:r>
    </w:p>
  </w:endnote>
  <w:endnote w:type="continuationSeparator" w:id="0">
    <w:p w14:paraId="459D22B2" w14:textId="77777777" w:rsidR="00344F43" w:rsidRDefault="00344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">
    <w:altName w:val="Calibri"/>
    <w:charset w:val="00"/>
    <w:family w:val="auto"/>
    <w:pitch w:val="default"/>
  </w:font>
  <w:font w:name="Rasa Light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0789" w14:textId="0E6C7E21" w:rsidR="00580E51" w:rsidRDefault="009A153D">
    <w:pPr>
      <w:jc w:val="right"/>
    </w:pPr>
    <w:r>
      <w:fldChar w:fldCharType="begin"/>
    </w:r>
    <w:r>
      <w:instrText>PAGE</w:instrText>
    </w:r>
    <w:r>
      <w:fldChar w:fldCharType="separate"/>
    </w:r>
    <w:r w:rsidR="00894BC6">
      <w:rPr>
        <w:noProof/>
      </w:rPr>
      <w:t>1</w:t>
    </w:r>
    <w:r>
      <w:fldChar w:fldCharType="end"/>
    </w:r>
  </w:p>
  <w:p w14:paraId="05D1E917" w14:textId="77777777" w:rsidR="00580E51" w:rsidRDefault="00580E51">
    <w:pPr>
      <w:tabs>
        <w:tab w:val="center" w:pos="4819"/>
        <w:tab w:val="right" w:pos="9638"/>
      </w:tabs>
      <w:spacing w:line="240" w:lineRule="auto"/>
      <w:rPr>
        <w:rFonts w:ascii="Rasa Light" w:eastAsia="Rasa Light" w:hAnsi="Rasa Light" w:cs="Rasa Light"/>
        <w:color w:val="071D49"/>
        <w:sz w:val="20"/>
        <w:szCs w:val="20"/>
      </w:rPr>
    </w:pPr>
  </w:p>
  <w:tbl>
    <w:tblPr>
      <w:tblStyle w:val="a"/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580E51" w14:paraId="7077D25F" w14:textId="77777777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E7D46C" w14:textId="77777777" w:rsidR="00580E51" w:rsidRDefault="009A153D">
          <w:pPr>
            <w:tabs>
              <w:tab w:val="center" w:pos="4819"/>
              <w:tab w:val="right" w:pos="9638"/>
            </w:tabs>
            <w:spacing w:line="240" w:lineRule="auto"/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38CD0E7F" w14:textId="77777777" w:rsidR="00580E51" w:rsidRDefault="009A153D">
          <w:pPr>
            <w:tabs>
              <w:tab w:val="center" w:pos="4819"/>
              <w:tab w:val="right" w:pos="9638"/>
            </w:tabs>
            <w:spacing w:line="240" w:lineRule="auto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2DB2011E" w14:textId="77777777" w:rsidR="00580E51" w:rsidRDefault="009A153D">
          <w:pPr>
            <w:widowControl w:val="0"/>
            <w:spacing w:line="240" w:lineRule="auto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0E1B3B7" w14:textId="77777777" w:rsidR="00580E51" w:rsidRDefault="00000000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9A153D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7384532C" wp14:editId="3677B05A">
                  <wp:extent cx="227965" cy="227965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B848D4" w14:textId="77777777" w:rsidR="00580E51" w:rsidRDefault="00000000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9A153D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28B53FCB" wp14:editId="4C5D1315">
                  <wp:extent cx="199837" cy="199837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1CE9C38" w14:textId="77777777" w:rsidR="00580E51" w:rsidRDefault="00000000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9A153D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29B1D948" wp14:editId="26E97207">
                  <wp:extent cx="199837" cy="199837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E4BFAD2" w14:textId="77777777" w:rsidR="00580E51" w:rsidRDefault="00000000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9A153D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64C84C55" wp14:editId="73255841">
                  <wp:extent cx="194628" cy="200025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3E2021C" w14:textId="77777777" w:rsidR="00580E51" w:rsidRDefault="00000000">
          <w:pPr>
            <w:widowControl w:val="0"/>
            <w:spacing w:line="240" w:lineRule="auto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9A153D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  <w:lang w:val="it-IT"/>
              </w:rPr>
              <w:drawing>
                <wp:inline distT="114300" distB="114300" distL="114300" distR="114300" wp14:anchorId="7AB7ADB8" wp14:editId="739072A3">
                  <wp:extent cx="194628" cy="194628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3FCE7D6C" w14:textId="77777777" w:rsidR="00580E51" w:rsidRDefault="00580E5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94BD" w14:textId="77777777" w:rsidR="00344F43" w:rsidRDefault="00344F43">
      <w:pPr>
        <w:spacing w:line="240" w:lineRule="auto"/>
      </w:pPr>
      <w:r>
        <w:separator/>
      </w:r>
    </w:p>
  </w:footnote>
  <w:footnote w:type="continuationSeparator" w:id="0">
    <w:p w14:paraId="339D41A7" w14:textId="77777777" w:rsidR="00344F43" w:rsidRDefault="00344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73C2" w14:textId="77777777" w:rsidR="00580E51" w:rsidRDefault="009A153D"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60996612" wp14:editId="77EDA949">
          <wp:simplePos x="0" y="0"/>
          <wp:positionH relativeFrom="column">
            <wp:posOffset>-915824</wp:posOffset>
          </wp:positionH>
          <wp:positionV relativeFrom="paragraph">
            <wp:posOffset>-457199</wp:posOffset>
          </wp:positionV>
          <wp:extent cx="7562850" cy="157734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57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A6D77"/>
    <w:multiLevelType w:val="hybridMultilevel"/>
    <w:tmpl w:val="0EDEBB60"/>
    <w:lvl w:ilvl="0" w:tplc="22AA32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C354E"/>
    <w:multiLevelType w:val="hybridMultilevel"/>
    <w:tmpl w:val="A3CEB898"/>
    <w:lvl w:ilvl="0" w:tplc="82A432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4065">
    <w:abstractNumId w:val="1"/>
  </w:num>
  <w:num w:numId="2" w16cid:durableId="111872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51"/>
    <w:rsid w:val="0000329F"/>
    <w:rsid w:val="00005452"/>
    <w:rsid w:val="00013CC7"/>
    <w:rsid w:val="00030170"/>
    <w:rsid w:val="00032274"/>
    <w:rsid w:val="00063830"/>
    <w:rsid w:val="0007201A"/>
    <w:rsid w:val="00082170"/>
    <w:rsid w:val="00085132"/>
    <w:rsid w:val="00086489"/>
    <w:rsid w:val="00090B75"/>
    <w:rsid w:val="00091B49"/>
    <w:rsid w:val="000B5C60"/>
    <w:rsid w:val="000B764A"/>
    <w:rsid w:val="000D23B7"/>
    <w:rsid w:val="000E2B49"/>
    <w:rsid w:val="000E54AE"/>
    <w:rsid w:val="000E61E1"/>
    <w:rsid w:val="000F2CD1"/>
    <w:rsid w:val="000F71B7"/>
    <w:rsid w:val="00104896"/>
    <w:rsid w:val="0010757D"/>
    <w:rsid w:val="00122946"/>
    <w:rsid w:val="00132F79"/>
    <w:rsid w:val="0016115D"/>
    <w:rsid w:val="00166532"/>
    <w:rsid w:val="00167779"/>
    <w:rsid w:val="0017404A"/>
    <w:rsid w:val="00184EDF"/>
    <w:rsid w:val="00186E96"/>
    <w:rsid w:val="00187AF5"/>
    <w:rsid w:val="001B1310"/>
    <w:rsid w:val="001D4D64"/>
    <w:rsid w:val="001D6B26"/>
    <w:rsid w:val="001E799A"/>
    <w:rsid w:val="001F28BF"/>
    <w:rsid w:val="00206F64"/>
    <w:rsid w:val="00217047"/>
    <w:rsid w:val="00226D04"/>
    <w:rsid w:val="00243915"/>
    <w:rsid w:val="0024753F"/>
    <w:rsid w:val="00260B50"/>
    <w:rsid w:val="0026458A"/>
    <w:rsid w:val="0027309B"/>
    <w:rsid w:val="00283423"/>
    <w:rsid w:val="00297665"/>
    <w:rsid w:val="002B1B51"/>
    <w:rsid w:val="002B3C1B"/>
    <w:rsid w:val="002C2791"/>
    <w:rsid w:val="002F1D0F"/>
    <w:rsid w:val="002F64D4"/>
    <w:rsid w:val="003012DE"/>
    <w:rsid w:val="00310F73"/>
    <w:rsid w:val="00314080"/>
    <w:rsid w:val="00316F49"/>
    <w:rsid w:val="00317A9F"/>
    <w:rsid w:val="003211A4"/>
    <w:rsid w:val="003240EA"/>
    <w:rsid w:val="00324717"/>
    <w:rsid w:val="00343E48"/>
    <w:rsid w:val="00344F43"/>
    <w:rsid w:val="003462F4"/>
    <w:rsid w:val="00361EBC"/>
    <w:rsid w:val="00377C8F"/>
    <w:rsid w:val="003C1E68"/>
    <w:rsid w:val="003F0C41"/>
    <w:rsid w:val="00406013"/>
    <w:rsid w:val="004158AE"/>
    <w:rsid w:val="0044295F"/>
    <w:rsid w:val="00453311"/>
    <w:rsid w:val="004633AA"/>
    <w:rsid w:val="0046645B"/>
    <w:rsid w:val="00471CBA"/>
    <w:rsid w:val="004A10DF"/>
    <w:rsid w:val="004B22E3"/>
    <w:rsid w:val="004C1266"/>
    <w:rsid w:val="004C2872"/>
    <w:rsid w:val="004D633F"/>
    <w:rsid w:val="004E1FB6"/>
    <w:rsid w:val="004E3845"/>
    <w:rsid w:val="004E711A"/>
    <w:rsid w:val="005003DB"/>
    <w:rsid w:val="005139C1"/>
    <w:rsid w:val="00523814"/>
    <w:rsid w:val="00547E97"/>
    <w:rsid w:val="00580E51"/>
    <w:rsid w:val="00592CD1"/>
    <w:rsid w:val="005A4353"/>
    <w:rsid w:val="005B5841"/>
    <w:rsid w:val="005B76C0"/>
    <w:rsid w:val="005D0418"/>
    <w:rsid w:val="005D1FEF"/>
    <w:rsid w:val="005E0B2A"/>
    <w:rsid w:val="005F389A"/>
    <w:rsid w:val="005F50F5"/>
    <w:rsid w:val="0062508A"/>
    <w:rsid w:val="0062696C"/>
    <w:rsid w:val="00642FEE"/>
    <w:rsid w:val="00644DA0"/>
    <w:rsid w:val="0065582C"/>
    <w:rsid w:val="00661901"/>
    <w:rsid w:val="00662F42"/>
    <w:rsid w:val="00667D5C"/>
    <w:rsid w:val="006A0828"/>
    <w:rsid w:val="006A2C60"/>
    <w:rsid w:val="006A5076"/>
    <w:rsid w:val="006B0671"/>
    <w:rsid w:val="006C6FD8"/>
    <w:rsid w:val="006D0C94"/>
    <w:rsid w:val="006D0EF1"/>
    <w:rsid w:val="006D5D8D"/>
    <w:rsid w:val="006E6B3C"/>
    <w:rsid w:val="006F6150"/>
    <w:rsid w:val="007034A1"/>
    <w:rsid w:val="00703A4A"/>
    <w:rsid w:val="007158FB"/>
    <w:rsid w:val="007234DE"/>
    <w:rsid w:val="00742396"/>
    <w:rsid w:val="00743A80"/>
    <w:rsid w:val="00746A61"/>
    <w:rsid w:val="00757A7E"/>
    <w:rsid w:val="00771A3E"/>
    <w:rsid w:val="0078735E"/>
    <w:rsid w:val="00797A0C"/>
    <w:rsid w:val="007B70FE"/>
    <w:rsid w:val="007F2F64"/>
    <w:rsid w:val="008001CC"/>
    <w:rsid w:val="00810042"/>
    <w:rsid w:val="008120E7"/>
    <w:rsid w:val="008405D4"/>
    <w:rsid w:val="00841A7B"/>
    <w:rsid w:val="00851857"/>
    <w:rsid w:val="00851ACB"/>
    <w:rsid w:val="00853351"/>
    <w:rsid w:val="008864FA"/>
    <w:rsid w:val="00890E06"/>
    <w:rsid w:val="00894BC6"/>
    <w:rsid w:val="008A4862"/>
    <w:rsid w:val="008C1F52"/>
    <w:rsid w:val="008C6EE4"/>
    <w:rsid w:val="008D6FC6"/>
    <w:rsid w:val="008E52F9"/>
    <w:rsid w:val="00902E90"/>
    <w:rsid w:val="00913C0D"/>
    <w:rsid w:val="0091790A"/>
    <w:rsid w:val="00935D95"/>
    <w:rsid w:val="00945731"/>
    <w:rsid w:val="0094747B"/>
    <w:rsid w:val="009500BA"/>
    <w:rsid w:val="00952B60"/>
    <w:rsid w:val="0096591B"/>
    <w:rsid w:val="0098077A"/>
    <w:rsid w:val="0099110A"/>
    <w:rsid w:val="00993711"/>
    <w:rsid w:val="009A153D"/>
    <w:rsid w:val="009B2C10"/>
    <w:rsid w:val="009E1936"/>
    <w:rsid w:val="009F52D4"/>
    <w:rsid w:val="00A3198B"/>
    <w:rsid w:val="00A54BC9"/>
    <w:rsid w:val="00A7169E"/>
    <w:rsid w:val="00A8231F"/>
    <w:rsid w:val="00A8681A"/>
    <w:rsid w:val="00A91BFA"/>
    <w:rsid w:val="00A920A5"/>
    <w:rsid w:val="00A925AC"/>
    <w:rsid w:val="00A955D2"/>
    <w:rsid w:val="00AA0DBB"/>
    <w:rsid w:val="00AA1399"/>
    <w:rsid w:val="00AA39A1"/>
    <w:rsid w:val="00AC3800"/>
    <w:rsid w:val="00AF545E"/>
    <w:rsid w:val="00B073C0"/>
    <w:rsid w:val="00B154EF"/>
    <w:rsid w:val="00B344C9"/>
    <w:rsid w:val="00B41309"/>
    <w:rsid w:val="00B44C0E"/>
    <w:rsid w:val="00B63B0F"/>
    <w:rsid w:val="00B77868"/>
    <w:rsid w:val="00B813B6"/>
    <w:rsid w:val="00B83155"/>
    <w:rsid w:val="00BA68DD"/>
    <w:rsid w:val="00BA6C8C"/>
    <w:rsid w:val="00BA7B57"/>
    <w:rsid w:val="00BD29DD"/>
    <w:rsid w:val="00BE2DFF"/>
    <w:rsid w:val="00BE30EA"/>
    <w:rsid w:val="00BE3183"/>
    <w:rsid w:val="00BF4DDE"/>
    <w:rsid w:val="00C1684F"/>
    <w:rsid w:val="00C23F61"/>
    <w:rsid w:val="00C27565"/>
    <w:rsid w:val="00C33E29"/>
    <w:rsid w:val="00C33E76"/>
    <w:rsid w:val="00C47BC3"/>
    <w:rsid w:val="00C52584"/>
    <w:rsid w:val="00C77E61"/>
    <w:rsid w:val="00C84767"/>
    <w:rsid w:val="00C856BA"/>
    <w:rsid w:val="00CF108C"/>
    <w:rsid w:val="00CF32DE"/>
    <w:rsid w:val="00D0032D"/>
    <w:rsid w:val="00D11F57"/>
    <w:rsid w:val="00D2185D"/>
    <w:rsid w:val="00D30B7B"/>
    <w:rsid w:val="00D437A1"/>
    <w:rsid w:val="00D468CC"/>
    <w:rsid w:val="00D47CDF"/>
    <w:rsid w:val="00D71FC5"/>
    <w:rsid w:val="00D921A7"/>
    <w:rsid w:val="00D92CC0"/>
    <w:rsid w:val="00DA34A1"/>
    <w:rsid w:val="00DC7622"/>
    <w:rsid w:val="00DD639D"/>
    <w:rsid w:val="00E00551"/>
    <w:rsid w:val="00E1519A"/>
    <w:rsid w:val="00E23EB3"/>
    <w:rsid w:val="00E34683"/>
    <w:rsid w:val="00E4001C"/>
    <w:rsid w:val="00E40C16"/>
    <w:rsid w:val="00E45CCB"/>
    <w:rsid w:val="00E71EF9"/>
    <w:rsid w:val="00E73203"/>
    <w:rsid w:val="00E77231"/>
    <w:rsid w:val="00E93BAA"/>
    <w:rsid w:val="00EA675F"/>
    <w:rsid w:val="00EA7045"/>
    <w:rsid w:val="00EB0B67"/>
    <w:rsid w:val="00EB12EF"/>
    <w:rsid w:val="00EC0C37"/>
    <w:rsid w:val="00EC2AAE"/>
    <w:rsid w:val="00EC5DD6"/>
    <w:rsid w:val="00ED1229"/>
    <w:rsid w:val="00ED5AB3"/>
    <w:rsid w:val="00EE0538"/>
    <w:rsid w:val="00EF1DF8"/>
    <w:rsid w:val="00EF7A46"/>
    <w:rsid w:val="00F17850"/>
    <w:rsid w:val="00F3358F"/>
    <w:rsid w:val="00F3676A"/>
    <w:rsid w:val="00F70768"/>
    <w:rsid w:val="00F741F2"/>
    <w:rsid w:val="00F90FF3"/>
    <w:rsid w:val="00FC5A87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849E"/>
  <w15:docId w15:val="{42C6AE87-0925-45EC-8C22-D52F592C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1E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E68"/>
  </w:style>
  <w:style w:type="paragraph" w:styleId="Pidipagina">
    <w:name w:val="footer"/>
    <w:basedOn w:val="Normale"/>
    <w:link w:val="PidipaginaCarattere"/>
    <w:uiPriority w:val="99"/>
    <w:unhideWhenUsed/>
    <w:rsid w:val="003C1E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E68"/>
  </w:style>
  <w:style w:type="paragraph" w:styleId="Revisione">
    <w:name w:val="Revision"/>
    <w:hidden/>
    <w:uiPriority w:val="99"/>
    <w:semiHidden/>
    <w:rsid w:val="006C6FD8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D0C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0EF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8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10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12.png"/><Relationship Id="rId4" Type="http://schemas.openxmlformats.org/officeDocument/2006/relationships/image" Target="media/image9.png"/><Relationship Id="rId9" Type="http://schemas.openxmlformats.org/officeDocument/2006/relationships/hyperlink" Target="https://open.spotify.com/show/2yMgvH1iyiuHPNA1pFxZ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632C-9636-4F99-8635-31E60806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Loredana Capuozzo</cp:lastModifiedBy>
  <cp:revision>7</cp:revision>
  <cp:lastPrinted>2022-08-25T10:50:00Z</cp:lastPrinted>
  <dcterms:created xsi:type="dcterms:W3CDTF">2022-08-29T14:16:00Z</dcterms:created>
  <dcterms:modified xsi:type="dcterms:W3CDTF">2022-09-01T11:47:00Z</dcterms:modified>
</cp:coreProperties>
</file>