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CC6B1D" w14:textId="77777777" w:rsidR="002B498E" w:rsidRDefault="002B498E">
      <w:pPr>
        <w:pStyle w:val="LO-normal"/>
        <w:ind w:left="-142"/>
        <w:jc w:val="center"/>
        <w:rPr>
          <w:rFonts w:ascii="Calibri" w:eastAsia="Calibri" w:hAnsi="Calibri" w:cs="Calibri"/>
          <w:b/>
        </w:rPr>
      </w:pPr>
    </w:p>
    <w:p w14:paraId="4F36041C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6648986F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0BE28A6" w14:textId="491F74FE" w:rsidR="006C5F52" w:rsidRPr="006C5F52" w:rsidRDefault="006C5F52" w:rsidP="006C5F52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</w:t>
      </w:r>
      <w:r w:rsidRPr="006C5F52">
        <w:rPr>
          <w:rFonts w:ascii="Calibri" w:eastAsia="Calibri" w:hAnsi="Calibri" w:cs="Calibri"/>
          <w:b/>
          <w:sz w:val="32"/>
          <w:szCs w:val="32"/>
        </w:rPr>
        <w:t>uerra: impatto sugli affari elevato per il 19% delle imprese esportatrici</w:t>
      </w:r>
    </w:p>
    <w:p w14:paraId="3A2A2286" w14:textId="77777777" w:rsidR="006C5F52" w:rsidRPr="006C5F52" w:rsidRDefault="006C5F52" w:rsidP="006C5F52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6C5F52">
        <w:rPr>
          <w:rFonts w:ascii="Calibri" w:eastAsia="Calibri" w:hAnsi="Calibri" w:cs="Calibri"/>
          <w:b/>
          <w:sz w:val="32"/>
          <w:szCs w:val="32"/>
        </w:rPr>
        <w:t>Una su cinque registra contrazioni delle vendite all’estero</w:t>
      </w:r>
    </w:p>
    <w:p w14:paraId="7D7B4DAF" w14:textId="77777777" w:rsidR="006C5F52" w:rsidRPr="006C5F52" w:rsidRDefault="006C5F52" w:rsidP="006C5F52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6C5F52">
        <w:rPr>
          <w:rFonts w:ascii="Calibri" w:eastAsia="Calibri" w:hAnsi="Calibri" w:cs="Calibri"/>
          <w:b/>
          <w:sz w:val="32"/>
          <w:szCs w:val="32"/>
        </w:rPr>
        <w:t xml:space="preserve">Quasi il 40% punta su risorse del </w:t>
      </w:r>
      <w:proofErr w:type="spellStart"/>
      <w:r w:rsidRPr="006C5F52">
        <w:rPr>
          <w:rFonts w:ascii="Calibri" w:eastAsia="Calibri" w:hAnsi="Calibri" w:cs="Calibri"/>
          <w:b/>
          <w:sz w:val="32"/>
          <w:szCs w:val="32"/>
        </w:rPr>
        <w:t>Pnrr</w:t>
      </w:r>
      <w:proofErr w:type="spellEnd"/>
    </w:p>
    <w:p w14:paraId="10F34B09" w14:textId="77777777" w:rsidR="0051680E" w:rsidRDefault="0051680E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EE35D74" w14:textId="291FEB00" w:rsidR="00506CDB" w:rsidRPr="00EA292C" w:rsidRDefault="00506CDB" w:rsidP="00F71E5E">
      <w:pPr>
        <w:pStyle w:val="LO-normal"/>
        <w:rPr>
          <w:rFonts w:ascii="Calibri" w:eastAsia="Calibri" w:hAnsi="Calibri" w:cs="Calibri"/>
          <w:b/>
          <w:sz w:val="32"/>
          <w:szCs w:val="32"/>
        </w:rPr>
      </w:pPr>
    </w:p>
    <w:p w14:paraId="6A74B4C3" w14:textId="7C39473E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  <w:r w:rsidRPr="006C5F52">
        <w:rPr>
          <w:rFonts w:ascii="Calibri" w:eastAsia="Calibri" w:hAnsi="Calibri" w:cs="Calibri"/>
        </w:rPr>
        <w:t xml:space="preserve">Roma, </w:t>
      </w:r>
      <w:r w:rsidR="009B00AE">
        <w:rPr>
          <w:rFonts w:ascii="Calibri" w:eastAsia="Calibri" w:hAnsi="Calibri" w:cs="Calibri"/>
        </w:rPr>
        <w:t>18</w:t>
      </w:r>
      <w:r w:rsidRPr="006C5F52">
        <w:rPr>
          <w:rFonts w:ascii="Calibri" w:eastAsia="Calibri" w:hAnsi="Calibri" w:cs="Calibri"/>
        </w:rPr>
        <w:t xml:space="preserve"> </w:t>
      </w:r>
      <w:r w:rsidR="009B00AE">
        <w:rPr>
          <w:rFonts w:ascii="Calibri" w:eastAsia="Calibri" w:hAnsi="Calibri" w:cs="Calibri"/>
        </w:rPr>
        <w:t>ottobre</w:t>
      </w:r>
      <w:r w:rsidRPr="006C5F52">
        <w:rPr>
          <w:rFonts w:ascii="Calibri" w:eastAsia="Calibri" w:hAnsi="Calibri" w:cs="Calibri"/>
        </w:rPr>
        <w:t xml:space="preserve"> 2022 – Sono le imprese esportatrici le più colpite dagli effetti del conflitto russo-ucraino. Per il 19% delle aziende che vendono all’estero la guerra sta avendo un impatto elevato sul proprio business, contro il 14% di quelle che si rivolgono esclusivamente al mercato interno. Così oggi già un’impresa su cinque registra riduzioni delle vendite oltre confine. A generare difficoltà è per quasi il 90% delle imprese esportatrici l’aumento dei prezzi delle materie prime e dell’energia, un problema sentito in ugual misura anche dalle realtà imprenditoriali che non esportano. Mentre il 54% rileva problemi di approvvigionamento delle materie prime (contro il 48% delle altre) e il 19% di energia (contro il 16%). Per sostenere la propria competitività, quindi, il 21% delle imprese esportatrici si è già attivato per utilizzare le risorse del </w:t>
      </w:r>
      <w:proofErr w:type="spellStart"/>
      <w:r w:rsidRPr="006C5F52">
        <w:rPr>
          <w:rFonts w:ascii="Calibri" w:eastAsia="Calibri" w:hAnsi="Calibri" w:cs="Calibri"/>
        </w:rPr>
        <w:t>Pnrr</w:t>
      </w:r>
      <w:proofErr w:type="spellEnd"/>
      <w:r w:rsidRPr="006C5F52">
        <w:rPr>
          <w:rFonts w:ascii="Calibri" w:eastAsia="Calibri" w:hAnsi="Calibri" w:cs="Calibri"/>
        </w:rPr>
        <w:t xml:space="preserve"> (contro l’11%) e il 18% lo farà (contro il 12%). </w:t>
      </w:r>
    </w:p>
    <w:p w14:paraId="1A478871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</w:p>
    <w:p w14:paraId="454A043C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  <w:proofErr w:type="gramStart"/>
      <w:r w:rsidRPr="006C5F52">
        <w:rPr>
          <w:rFonts w:ascii="Calibri" w:eastAsia="Calibri" w:hAnsi="Calibri" w:cs="Calibri"/>
        </w:rPr>
        <w:t>E’</w:t>
      </w:r>
      <w:proofErr w:type="gramEnd"/>
      <w:r w:rsidRPr="006C5F52">
        <w:rPr>
          <w:rFonts w:ascii="Calibri" w:eastAsia="Calibri" w:hAnsi="Calibri" w:cs="Calibri"/>
        </w:rPr>
        <w:t xml:space="preserve"> quanto emerge da una indagine condotta </w:t>
      </w:r>
      <w:r w:rsidRPr="00FB2018">
        <w:rPr>
          <w:rFonts w:ascii="Calibri" w:eastAsia="Calibri" w:hAnsi="Calibri" w:cs="Calibri"/>
          <w:b/>
          <w:bCs/>
        </w:rPr>
        <w:t>dal Centro Studi Tagliacarne per il Rapporto Export 2022 di SACE</w:t>
      </w:r>
      <w:r w:rsidRPr="006C5F52">
        <w:rPr>
          <w:rFonts w:ascii="Calibri" w:eastAsia="Calibri" w:hAnsi="Calibri" w:cs="Calibri"/>
        </w:rPr>
        <w:t>, elaborata su un campione di 3.000 imprese manifatturiere con un numero di addetti tra 5 e 499 che consente di studiare le dimensioni e i tratti caratteristici dell’impatto del conflitto sulle imprese italiane esportatrici.</w:t>
      </w:r>
    </w:p>
    <w:p w14:paraId="43913994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</w:p>
    <w:p w14:paraId="259244B5" w14:textId="480FC9FD" w:rsidR="0065248B" w:rsidRPr="0065248B" w:rsidRDefault="00C1575F" w:rsidP="0065248B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65248B" w:rsidRPr="0065248B">
        <w:rPr>
          <w:rFonts w:ascii="Calibri" w:eastAsia="Calibri" w:hAnsi="Calibri" w:cs="Calibri"/>
        </w:rPr>
        <w:t xml:space="preserve">Fino ad ora le imprese hanno manifestato una sostanziale resilienza perché sono riuscite a trasferire sui prezzi di vendita almeno parte dell’aumento dei prezzi all’importazione”. È quanto evidenzia </w:t>
      </w:r>
      <w:r w:rsidR="0065248B" w:rsidRPr="003D5BF3">
        <w:rPr>
          <w:rFonts w:ascii="Calibri" w:eastAsia="Calibri" w:hAnsi="Calibri" w:cs="Calibri"/>
          <w:b/>
          <w:bCs/>
        </w:rPr>
        <w:t>il direttore generale del Centro Studi Tagliacarne, Gaetano Fausto Esposito</w:t>
      </w:r>
      <w:r w:rsidR="0065248B" w:rsidRPr="0065248B">
        <w:rPr>
          <w:rFonts w:ascii="Calibri" w:eastAsia="Calibri" w:hAnsi="Calibri" w:cs="Calibri"/>
        </w:rPr>
        <w:t xml:space="preserve">, che avverte “tuttavia, l’andamento tendenzialmente flettente delle quantità esportate, unito al rallentamento del ritmo di crescita del commercio mondiale, inducono a guardare con una certa cautela alle prospettive future delle nostre esportazioni. E proprio per restare competitive il 18% delle </w:t>
      </w:r>
      <w:r w:rsidR="009B00AE">
        <w:rPr>
          <w:rFonts w:ascii="Calibri" w:eastAsia="Calibri" w:hAnsi="Calibri" w:cs="Calibri"/>
        </w:rPr>
        <w:t xml:space="preserve">imprese </w:t>
      </w:r>
      <w:r w:rsidR="0065248B" w:rsidRPr="0065248B">
        <w:rPr>
          <w:rFonts w:ascii="Calibri" w:eastAsia="Calibri" w:hAnsi="Calibri" w:cs="Calibri"/>
        </w:rPr>
        <w:t>esportatrici investirà in processi green nel triennio 2022-24.”</w:t>
      </w:r>
    </w:p>
    <w:p w14:paraId="60E6C68E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</w:p>
    <w:p w14:paraId="105C229C" w14:textId="77777777" w:rsidR="006C5F52" w:rsidRPr="00FB2018" w:rsidRDefault="006C5F52" w:rsidP="006C5F52">
      <w:pPr>
        <w:pStyle w:val="LO-normal"/>
        <w:rPr>
          <w:rFonts w:ascii="Calibri" w:eastAsia="Calibri" w:hAnsi="Calibri" w:cs="Calibri"/>
          <w:b/>
          <w:bCs/>
        </w:rPr>
      </w:pPr>
      <w:r w:rsidRPr="00FB2018">
        <w:rPr>
          <w:rFonts w:ascii="Calibri" w:eastAsia="Calibri" w:hAnsi="Calibri" w:cs="Calibri"/>
          <w:b/>
          <w:bCs/>
        </w:rPr>
        <w:t xml:space="preserve">Alimentare più colpito dalla fiammata dei prezzi </w:t>
      </w:r>
    </w:p>
    <w:p w14:paraId="39A8792A" w14:textId="1CB41F72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  <w:r w:rsidRPr="006C5F52">
        <w:rPr>
          <w:rFonts w:ascii="Calibri" w:eastAsia="Calibri" w:hAnsi="Calibri" w:cs="Calibri"/>
        </w:rPr>
        <w:t xml:space="preserve">Tra le aziende esportatrici è soprattutto il settore alimentare a mostrare fatica a fare quadrare i conti con l’aumento dei prezzi di materie prime ed energia sul proprio business, </w:t>
      </w:r>
      <w:r w:rsidRPr="006C5F52">
        <w:rPr>
          <w:rFonts w:ascii="Calibri" w:eastAsia="Calibri" w:hAnsi="Calibri" w:cs="Calibri"/>
        </w:rPr>
        <w:lastRenderedPageBreak/>
        <w:t xml:space="preserve">che colpisce </w:t>
      </w:r>
      <w:r w:rsidR="00FB2018">
        <w:rPr>
          <w:rFonts w:ascii="Calibri" w:eastAsia="Calibri" w:hAnsi="Calibri" w:cs="Calibri"/>
        </w:rPr>
        <w:t>nove</w:t>
      </w:r>
      <w:r w:rsidRPr="006C5F52">
        <w:rPr>
          <w:rFonts w:ascii="Calibri" w:eastAsia="Calibri" w:hAnsi="Calibri" w:cs="Calibri"/>
        </w:rPr>
        <w:t xml:space="preserve"> imprese su dieci. Ma anche il 90% delle imprese dei comparti della moda e dell’arredamento dichiara di subire particolarmente l’aumento dei prezzi dell’energia. Sono le grandi imprese, tra 250 e i 499 addetti, che dichiarano maggiori difficoltà per gli effetti legati all’aumento dei prezzi dell’energia (89% contro 84% delle piccole), anche probabilmente a causa dei loro livelli fisiologicamente più elevati di consumo. Inoltre, mentre l’approvvigionamento energetico preoccupa un’impresa alimentare su cinque, quello delle materie prime è un problema rilevante in particolare per la filiera dell’auto (55%). Ma in quest’ultimo caso le grandi imprese sembrano assorbire meglio l’impatto, potendo verosimilmente contare su una rete di subfornitura diversificata a livello globale.</w:t>
      </w:r>
    </w:p>
    <w:p w14:paraId="0F3D0678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</w:p>
    <w:p w14:paraId="02A92027" w14:textId="77777777" w:rsidR="006C5F52" w:rsidRPr="00732795" w:rsidRDefault="006C5F52" w:rsidP="006C5F52">
      <w:pPr>
        <w:pStyle w:val="LO-normal"/>
        <w:rPr>
          <w:rFonts w:ascii="Calibri" w:eastAsia="Calibri" w:hAnsi="Calibri" w:cs="Calibri"/>
          <w:b/>
          <w:bCs/>
        </w:rPr>
      </w:pPr>
      <w:r w:rsidRPr="00732795">
        <w:rPr>
          <w:rFonts w:ascii="Calibri" w:eastAsia="Calibri" w:hAnsi="Calibri" w:cs="Calibri"/>
          <w:b/>
          <w:bCs/>
        </w:rPr>
        <w:t>Più elevata è l’esposizione internazionale, più alto l’impatto della guerra sul business</w:t>
      </w:r>
    </w:p>
    <w:p w14:paraId="2D4330F7" w14:textId="77777777" w:rsidR="006C5F52" w:rsidRPr="006C5F52" w:rsidRDefault="006C5F52" w:rsidP="006C5F52">
      <w:pPr>
        <w:pStyle w:val="LO-normal"/>
        <w:rPr>
          <w:rFonts w:ascii="Calibri" w:eastAsia="Calibri" w:hAnsi="Calibri" w:cs="Calibri"/>
        </w:rPr>
      </w:pPr>
      <w:r w:rsidRPr="006C5F52">
        <w:rPr>
          <w:rFonts w:ascii="Calibri" w:eastAsia="Calibri" w:hAnsi="Calibri" w:cs="Calibri"/>
        </w:rPr>
        <w:t xml:space="preserve">Per il 19% delle imprese esportatrici l’impatto del conflitto sull’andamento della propria attività imprenditoriale è alto (contro il 14% nel caso delle non esportatrici). Ma la quota sale al 21% nel caso di attività imprenditoriali a partecipazione straniera. Gli effetti negativi percepiti risultano, in ogni caso, maggiori tanto più elevato è il grado di apertura internazionale che passa dal 18% nel caso delle imprese con un ridotto livello di export al 22% di quelle con una presenza più consistente sui mercati stranieri. </w:t>
      </w:r>
    </w:p>
    <w:p w14:paraId="05BA4170" w14:textId="3CA8DBC6" w:rsidR="00732795" w:rsidRDefault="006C5F52" w:rsidP="006C5F52">
      <w:pPr>
        <w:pStyle w:val="LO-normal"/>
        <w:rPr>
          <w:rFonts w:ascii="Calibri" w:eastAsia="Calibri" w:hAnsi="Calibri" w:cs="Calibri"/>
        </w:rPr>
      </w:pPr>
      <w:r w:rsidRPr="006C5F52">
        <w:rPr>
          <w:rFonts w:ascii="Calibri" w:eastAsia="Calibri" w:hAnsi="Calibri" w:cs="Calibri"/>
        </w:rPr>
        <w:t>Tuttavia le stesse imprese esportatrici sono anche le più attrezzate a rispondere a questi tipi di shock sia in termini di copertura finanziaria - il 62% dichiara di avere strumenti per far fronte a possibili scenari di crisi, tra i quali l’aumento dei costi delle materie prime, contro il 54% nel caso delle non esportatrici - sia in termini di commodity risk management -il 56% quantifica le possibili perdite in caso di interruzione della catena di fornitura prevedendo strategie di contrasto, contro il 49% delle “non esportatrici”-.</w:t>
      </w:r>
    </w:p>
    <w:p w14:paraId="35040DF4" w14:textId="77777777" w:rsidR="00732795" w:rsidRDefault="00732795">
      <w:pPr>
        <w:rPr>
          <w:rFonts w:ascii="Calibri" w:eastAsia="Calibri" w:hAnsi="Calibri" w:cs="Calibri"/>
          <w:lang w:eastAsia="zh-CN" w:bidi="hi-IN"/>
        </w:rPr>
      </w:pPr>
      <w:r>
        <w:rPr>
          <w:rFonts w:ascii="Calibri" w:eastAsia="Calibri" w:hAnsi="Calibri" w:cs="Calibri"/>
        </w:rPr>
        <w:br w:type="page"/>
      </w:r>
    </w:p>
    <w:p w14:paraId="04E4419A" w14:textId="77777777" w:rsidR="00732795" w:rsidRPr="00732795" w:rsidRDefault="00732795" w:rsidP="00732795">
      <w:pPr>
        <w:pStyle w:val="LO-normal"/>
        <w:rPr>
          <w:rFonts w:ascii="Calibri" w:hAnsi="Calibri" w:cs="Calibri"/>
          <w:b/>
          <w:bCs/>
        </w:rPr>
      </w:pPr>
      <w:r w:rsidRPr="00732795">
        <w:rPr>
          <w:rFonts w:ascii="Calibri" w:hAnsi="Calibri" w:cs="Calibri"/>
          <w:b/>
          <w:bCs/>
        </w:rPr>
        <w:lastRenderedPageBreak/>
        <w:t>Quota di imprese esportatrici che subiscono un alto impatto del conflitto russo-ucraino, secondo il grado di export-</w:t>
      </w:r>
      <w:proofErr w:type="spellStart"/>
      <w:r w:rsidRPr="00732795">
        <w:rPr>
          <w:rFonts w:ascii="Calibri" w:hAnsi="Calibri" w:cs="Calibri"/>
          <w:b/>
          <w:bCs/>
        </w:rPr>
        <w:t>extensive</w:t>
      </w:r>
      <w:proofErr w:type="spellEnd"/>
    </w:p>
    <w:p w14:paraId="43B55E21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</w:rPr>
        <w:t>(distribuzioni %)</w:t>
      </w:r>
    </w:p>
    <w:p w14:paraId="1FE8DFC6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  <w:noProof/>
        </w:rPr>
        <w:drawing>
          <wp:inline distT="0" distB="0" distL="0" distR="0" wp14:anchorId="1F62370E" wp14:editId="15E6CBB0">
            <wp:extent cx="3373424" cy="1440000"/>
            <wp:effectExtent l="0" t="0" r="0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24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D62DB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1F2640AE" w14:textId="77777777" w:rsidR="00732795" w:rsidRPr="00732795" w:rsidRDefault="00732795" w:rsidP="00732795">
      <w:pPr>
        <w:pStyle w:val="LO-normal"/>
        <w:rPr>
          <w:rFonts w:ascii="Calibri" w:hAnsi="Calibri" w:cs="Calibri"/>
          <w:sz w:val="20"/>
          <w:szCs w:val="20"/>
        </w:rPr>
      </w:pPr>
      <w:r w:rsidRPr="00732795">
        <w:rPr>
          <w:rFonts w:ascii="Calibri" w:hAnsi="Calibri" w:cs="Calibri"/>
          <w:sz w:val="20"/>
          <w:szCs w:val="20"/>
        </w:rPr>
        <w:t>Fonte: Centro Studi Tagliacarne-Unioncamere, indagine 2022</w:t>
      </w:r>
    </w:p>
    <w:p w14:paraId="198C13E0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0EEAA555" w14:textId="659326F8" w:rsidR="00732795" w:rsidRDefault="00732795" w:rsidP="00732795">
      <w:pPr>
        <w:pStyle w:val="LO-normal"/>
        <w:rPr>
          <w:rFonts w:ascii="Calibri" w:hAnsi="Calibri" w:cs="Calibri"/>
        </w:rPr>
      </w:pPr>
    </w:p>
    <w:p w14:paraId="5AD56579" w14:textId="77777777" w:rsidR="00732795" w:rsidRPr="00732795" w:rsidRDefault="00732795" w:rsidP="00732795">
      <w:pPr>
        <w:pStyle w:val="LO-normal"/>
        <w:rPr>
          <w:rFonts w:ascii="Calibri" w:hAnsi="Calibri" w:cs="Calibri"/>
          <w:b/>
          <w:bCs/>
        </w:rPr>
      </w:pPr>
      <w:r w:rsidRPr="00732795">
        <w:rPr>
          <w:rFonts w:ascii="Calibri" w:hAnsi="Calibri" w:cs="Calibri"/>
          <w:b/>
          <w:bCs/>
        </w:rPr>
        <w:t>Effetti del conflitto russo-ucraino: imprese esportatrici e non esportatrici a confronto</w:t>
      </w:r>
    </w:p>
    <w:p w14:paraId="47A2CA9E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</w:rPr>
        <w:t>(valori %*)</w:t>
      </w:r>
    </w:p>
    <w:p w14:paraId="7022AC48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  <w:noProof/>
        </w:rPr>
        <w:drawing>
          <wp:inline distT="0" distB="0" distL="0" distR="0" wp14:anchorId="5220C9DF" wp14:editId="4EED4CEC">
            <wp:extent cx="4813609" cy="1636056"/>
            <wp:effectExtent l="0" t="0" r="635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523" cy="164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84A1A" w14:textId="77777777" w:rsidR="00732795" w:rsidRPr="00732795" w:rsidRDefault="00732795" w:rsidP="00732795">
      <w:pPr>
        <w:pStyle w:val="LO-normal"/>
        <w:rPr>
          <w:rFonts w:ascii="Calibri" w:hAnsi="Calibri" w:cs="Calibri"/>
          <w:sz w:val="22"/>
          <w:szCs w:val="22"/>
        </w:rPr>
      </w:pPr>
      <w:r w:rsidRPr="00732795">
        <w:rPr>
          <w:rFonts w:ascii="Calibri" w:hAnsi="Calibri" w:cs="Calibri"/>
          <w:sz w:val="22"/>
          <w:szCs w:val="22"/>
        </w:rPr>
        <w:t>* Domanda a risposta multipla.</w:t>
      </w:r>
    </w:p>
    <w:p w14:paraId="737FC2B3" w14:textId="77777777" w:rsidR="00732795" w:rsidRPr="00732795" w:rsidRDefault="00732795" w:rsidP="00732795">
      <w:pPr>
        <w:pStyle w:val="LO-normal"/>
        <w:rPr>
          <w:rFonts w:ascii="Calibri" w:hAnsi="Calibri" w:cs="Calibri"/>
          <w:sz w:val="22"/>
          <w:szCs w:val="22"/>
        </w:rPr>
      </w:pPr>
      <w:r w:rsidRPr="00732795">
        <w:rPr>
          <w:rFonts w:ascii="Calibri" w:hAnsi="Calibri" w:cs="Calibri"/>
          <w:sz w:val="22"/>
          <w:szCs w:val="22"/>
        </w:rPr>
        <w:t>Fonte: Centro Studi Tagliacarne-Unioncamere, indagine 2022</w:t>
      </w:r>
    </w:p>
    <w:p w14:paraId="075D4597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20436F60" w14:textId="46F8B43C" w:rsidR="00732795" w:rsidRDefault="00732795" w:rsidP="00732795">
      <w:pPr>
        <w:pStyle w:val="LO-normal"/>
        <w:rPr>
          <w:rFonts w:ascii="Calibri" w:hAnsi="Calibri" w:cs="Calibri"/>
        </w:rPr>
      </w:pPr>
    </w:p>
    <w:p w14:paraId="68D54AF5" w14:textId="77777777" w:rsidR="00732795" w:rsidRPr="00732795" w:rsidRDefault="00732795" w:rsidP="00732795">
      <w:pPr>
        <w:pStyle w:val="LO-normal"/>
        <w:rPr>
          <w:rFonts w:ascii="Calibri" w:hAnsi="Calibri" w:cs="Calibri"/>
          <w:b/>
          <w:bCs/>
        </w:rPr>
      </w:pPr>
      <w:r w:rsidRPr="00732795">
        <w:rPr>
          <w:rFonts w:ascii="Calibri" w:hAnsi="Calibri" w:cs="Calibri"/>
          <w:b/>
          <w:bCs/>
        </w:rPr>
        <w:t>Quota di imprese che hanno investito nel biennio 2020-21 nel green per contrastare l’aumento dei prezzi delle materie prime ed energetiche</w:t>
      </w:r>
    </w:p>
    <w:p w14:paraId="59A9996E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</w:rPr>
        <w:t>(valori %*)</w:t>
      </w:r>
    </w:p>
    <w:p w14:paraId="5A6FF789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  <w:noProof/>
        </w:rPr>
        <w:drawing>
          <wp:inline distT="0" distB="0" distL="0" distR="0" wp14:anchorId="00ACDC92" wp14:editId="0296708F">
            <wp:extent cx="4062714" cy="1519041"/>
            <wp:effectExtent l="0" t="0" r="0" b="508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87" cy="15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83629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62C2923E" w14:textId="77777777" w:rsidR="00732795" w:rsidRPr="00732795" w:rsidRDefault="00732795" w:rsidP="00732795">
      <w:pPr>
        <w:pStyle w:val="LO-normal"/>
        <w:rPr>
          <w:rFonts w:ascii="Calibri" w:hAnsi="Calibri" w:cs="Calibri"/>
          <w:sz w:val="22"/>
          <w:szCs w:val="22"/>
        </w:rPr>
      </w:pPr>
      <w:r w:rsidRPr="00732795">
        <w:rPr>
          <w:rFonts w:ascii="Calibri" w:hAnsi="Calibri" w:cs="Calibri"/>
          <w:sz w:val="22"/>
          <w:szCs w:val="22"/>
        </w:rPr>
        <w:t>Fonte: Centro Studi Tagliacarne-Unioncamere, indagine 2022</w:t>
      </w:r>
    </w:p>
    <w:p w14:paraId="5D713C13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5C1A7FCA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7FA54EE2" w14:textId="77777777" w:rsidR="00732795" w:rsidRPr="00732795" w:rsidRDefault="00732795" w:rsidP="00732795">
      <w:pPr>
        <w:pStyle w:val="LO-normal"/>
        <w:rPr>
          <w:rFonts w:ascii="Calibri" w:hAnsi="Calibri" w:cs="Calibri"/>
          <w:b/>
          <w:bCs/>
        </w:rPr>
      </w:pPr>
      <w:r w:rsidRPr="00732795">
        <w:rPr>
          <w:rFonts w:ascii="Calibri" w:hAnsi="Calibri" w:cs="Calibri"/>
          <w:b/>
          <w:bCs/>
        </w:rPr>
        <w:lastRenderedPageBreak/>
        <w:t>Quota di imprese che si sono attivate o hanno intenzione di attivarsi per aderire ai progetti del PNRR di supporto alle imprese</w:t>
      </w:r>
    </w:p>
    <w:p w14:paraId="03D02087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</w:rPr>
        <w:t>(distribuzioni %)</w:t>
      </w:r>
    </w:p>
    <w:p w14:paraId="627C8839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  <w:r w:rsidRPr="00732795">
        <w:rPr>
          <w:rFonts w:ascii="Calibri" w:hAnsi="Calibri" w:cs="Calibri"/>
          <w:noProof/>
        </w:rPr>
        <w:drawing>
          <wp:inline distT="0" distB="0" distL="0" distR="0" wp14:anchorId="6068D52C" wp14:editId="30C6D94E">
            <wp:extent cx="2147975" cy="1800000"/>
            <wp:effectExtent l="0" t="0" r="508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09"/>
                    <a:stretch/>
                  </pic:blipFill>
                  <pic:spPr bwMode="auto">
                    <a:xfrm>
                      <a:off x="0" y="0"/>
                      <a:ext cx="21479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2795">
        <w:rPr>
          <w:rFonts w:ascii="Calibri" w:hAnsi="Calibri" w:cs="Calibri"/>
          <w:noProof/>
        </w:rPr>
        <w:drawing>
          <wp:inline distT="0" distB="0" distL="0" distR="0" wp14:anchorId="578B482C" wp14:editId="155C9ABA">
            <wp:extent cx="2228127" cy="1799590"/>
            <wp:effectExtent l="0" t="0" r="127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72"/>
                    <a:stretch/>
                  </pic:blipFill>
                  <pic:spPr bwMode="auto">
                    <a:xfrm>
                      <a:off x="0" y="0"/>
                      <a:ext cx="22286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2E0DA" w14:textId="77777777" w:rsidR="00732795" w:rsidRPr="00732795" w:rsidRDefault="00732795" w:rsidP="00732795">
      <w:pPr>
        <w:pStyle w:val="LO-normal"/>
        <w:rPr>
          <w:rFonts w:ascii="Calibri" w:hAnsi="Calibri" w:cs="Calibri"/>
          <w:sz w:val="22"/>
          <w:szCs w:val="22"/>
        </w:rPr>
      </w:pPr>
      <w:r w:rsidRPr="00732795">
        <w:rPr>
          <w:rFonts w:ascii="Calibri" w:hAnsi="Calibri" w:cs="Calibri"/>
          <w:sz w:val="22"/>
          <w:szCs w:val="22"/>
        </w:rPr>
        <w:t>Fonte: Centro Studi Tagliacarne-Unioncamere, indagine 2022</w:t>
      </w:r>
    </w:p>
    <w:p w14:paraId="5DF8E57B" w14:textId="77777777" w:rsidR="00732795" w:rsidRPr="00732795" w:rsidRDefault="00732795" w:rsidP="00732795">
      <w:pPr>
        <w:pStyle w:val="LO-normal"/>
        <w:rPr>
          <w:rFonts w:ascii="Calibri" w:hAnsi="Calibri" w:cs="Calibri"/>
        </w:rPr>
      </w:pPr>
    </w:p>
    <w:p w14:paraId="4C7E2BC6" w14:textId="77777777" w:rsidR="00732795" w:rsidRPr="00732795" w:rsidRDefault="00732795" w:rsidP="00732795">
      <w:pPr>
        <w:pStyle w:val="LO-normal"/>
        <w:rPr>
          <w:rFonts w:ascii="Calibri" w:eastAsia="Calibri" w:hAnsi="Calibri" w:cs="Calibri"/>
          <w:b/>
        </w:rPr>
      </w:pPr>
    </w:p>
    <w:p w14:paraId="0982CAEF" w14:textId="556D17AA" w:rsidR="00AA0363" w:rsidRDefault="00AA0363" w:rsidP="006C5F52">
      <w:pPr>
        <w:pStyle w:val="LO-normal"/>
        <w:rPr>
          <w:rFonts w:ascii="Calibri" w:eastAsia="Calibri" w:hAnsi="Calibri" w:cs="Calibri"/>
        </w:rPr>
      </w:pPr>
    </w:p>
    <w:sectPr w:rsidR="00AA0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559" w:bottom="709" w:left="1559" w:header="720" w:footer="375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D26B" w14:textId="77777777" w:rsidR="00612D90" w:rsidRDefault="00612D90">
      <w:r>
        <w:separator/>
      </w:r>
    </w:p>
  </w:endnote>
  <w:endnote w:type="continuationSeparator" w:id="0">
    <w:p w14:paraId="41AE1822" w14:textId="77777777" w:rsidR="00612D90" w:rsidRDefault="0061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1420" w14:textId="77777777" w:rsidR="00FB276B" w:rsidRDefault="00FB2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3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05A6" w14:textId="77777777" w:rsidR="00612D90" w:rsidRDefault="00612D90">
      <w:r>
        <w:separator/>
      </w:r>
    </w:p>
  </w:footnote>
  <w:footnote w:type="continuationSeparator" w:id="0">
    <w:p w14:paraId="08FC7797" w14:textId="77777777" w:rsidR="00612D90" w:rsidRDefault="0061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16F" w14:textId="77777777" w:rsidR="00FB276B" w:rsidRDefault="00FB2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50EC"/>
    <w:rsid w:val="00021099"/>
    <w:rsid w:val="000A5176"/>
    <w:rsid w:val="000A5435"/>
    <w:rsid w:val="000A6B8F"/>
    <w:rsid w:val="000D281F"/>
    <w:rsid w:val="000D2988"/>
    <w:rsid w:val="000D48DE"/>
    <w:rsid w:val="000D56CA"/>
    <w:rsid w:val="000E43A2"/>
    <w:rsid w:val="000E6CA7"/>
    <w:rsid w:val="000F630E"/>
    <w:rsid w:val="00104013"/>
    <w:rsid w:val="00117387"/>
    <w:rsid w:val="00124497"/>
    <w:rsid w:val="00154230"/>
    <w:rsid w:val="00163192"/>
    <w:rsid w:val="001713AD"/>
    <w:rsid w:val="00182800"/>
    <w:rsid w:val="001B125E"/>
    <w:rsid w:val="001B7D85"/>
    <w:rsid w:val="001C0886"/>
    <w:rsid w:val="001D187F"/>
    <w:rsid w:val="001D442F"/>
    <w:rsid w:val="001D6694"/>
    <w:rsid w:val="0021095C"/>
    <w:rsid w:val="002240F8"/>
    <w:rsid w:val="00226213"/>
    <w:rsid w:val="002328BF"/>
    <w:rsid w:val="00245546"/>
    <w:rsid w:val="00247134"/>
    <w:rsid w:val="0024740F"/>
    <w:rsid w:val="002672E8"/>
    <w:rsid w:val="00282AEC"/>
    <w:rsid w:val="002B2C3D"/>
    <w:rsid w:val="002B3B83"/>
    <w:rsid w:val="002B498E"/>
    <w:rsid w:val="002C11ED"/>
    <w:rsid w:val="002C12F4"/>
    <w:rsid w:val="002E332D"/>
    <w:rsid w:val="002E6EA2"/>
    <w:rsid w:val="00310FDF"/>
    <w:rsid w:val="00311498"/>
    <w:rsid w:val="00321FAF"/>
    <w:rsid w:val="003378AA"/>
    <w:rsid w:val="003625E5"/>
    <w:rsid w:val="00384A84"/>
    <w:rsid w:val="003958E0"/>
    <w:rsid w:val="003B133C"/>
    <w:rsid w:val="003C76F8"/>
    <w:rsid w:val="003D29EE"/>
    <w:rsid w:val="003D5BF3"/>
    <w:rsid w:val="00400448"/>
    <w:rsid w:val="004042FE"/>
    <w:rsid w:val="004069F0"/>
    <w:rsid w:val="004213F1"/>
    <w:rsid w:val="0042598D"/>
    <w:rsid w:val="00425CDE"/>
    <w:rsid w:val="00453F63"/>
    <w:rsid w:val="004555A2"/>
    <w:rsid w:val="00455CF8"/>
    <w:rsid w:val="00467E76"/>
    <w:rsid w:val="00474EE2"/>
    <w:rsid w:val="00476CE7"/>
    <w:rsid w:val="0048799C"/>
    <w:rsid w:val="004A0507"/>
    <w:rsid w:val="004B6276"/>
    <w:rsid w:val="004D0284"/>
    <w:rsid w:val="004E2AF1"/>
    <w:rsid w:val="004F16CD"/>
    <w:rsid w:val="00506CDB"/>
    <w:rsid w:val="00513E97"/>
    <w:rsid w:val="0051680E"/>
    <w:rsid w:val="0052022F"/>
    <w:rsid w:val="00563D3C"/>
    <w:rsid w:val="00571A94"/>
    <w:rsid w:val="00581F14"/>
    <w:rsid w:val="0059138E"/>
    <w:rsid w:val="00594414"/>
    <w:rsid w:val="005A3679"/>
    <w:rsid w:val="005B0033"/>
    <w:rsid w:val="005B64B6"/>
    <w:rsid w:val="005C2321"/>
    <w:rsid w:val="005D5956"/>
    <w:rsid w:val="005E4790"/>
    <w:rsid w:val="00606EA1"/>
    <w:rsid w:val="00612D90"/>
    <w:rsid w:val="006303DB"/>
    <w:rsid w:val="00630C5A"/>
    <w:rsid w:val="00630E2F"/>
    <w:rsid w:val="006466D9"/>
    <w:rsid w:val="0064710D"/>
    <w:rsid w:val="0065248B"/>
    <w:rsid w:val="0066626C"/>
    <w:rsid w:val="00673E41"/>
    <w:rsid w:val="00677FFB"/>
    <w:rsid w:val="00680494"/>
    <w:rsid w:val="00682B6D"/>
    <w:rsid w:val="006924D4"/>
    <w:rsid w:val="006C2058"/>
    <w:rsid w:val="006C5F52"/>
    <w:rsid w:val="006D507F"/>
    <w:rsid w:val="006D736F"/>
    <w:rsid w:val="006E5B79"/>
    <w:rsid w:val="006F1DFE"/>
    <w:rsid w:val="007100E3"/>
    <w:rsid w:val="0071404A"/>
    <w:rsid w:val="00724A4E"/>
    <w:rsid w:val="00730427"/>
    <w:rsid w:val="00732795"/>
    <w:rsid w:val="00734433"/>
    <w:rsid w:val="00747179"/>
    <w:rsid w:val="00747256"/>
    <w:rsid w:val="00762202"/>
    <w:rsid w:val="00762250"/>
    <w:rsid w:val="00766A11"/>
    <w:rsid w:val="00767E28"/>
    <w:rsid w:val="00771352"/>
    <w:rsid w:val="0077177D"/>
    <w:rsid w:val="007733EA"/>
    <w:rsid w:val="00776558"/>
    <w:rsid w:val="00784C66"/>
    <w:rsid w:val="00796637"/>
    <w:rsid w:val="007A0A2E"/>
    <w:rsid w:val="007A5FC6"/>
    <w:rsid w:val="007B66FC"/>
    <w:rsid w:val="007D7F85"/>
    <w:rsid w:val="00803C78"/>
    <w:rsid w:val="00807441"/>
    <w:rsid w:val="008105C0"/>
    <w:rsid w:val="008111ED"/>
    <w:rsid w:val="008376DA"/>
    <w:rsid w:val="00855470"/>
    <w:rsid w:val="00857179"/>
    <w:rsid w:val="0086208B"/>
    <w:rsid w:val="00897B50"/>
    <w:rsid w:val="008D4A4A"/>
    <w:rsid w:val="008F1334"/>
    <w:rsid w:val="008F529B"/>
    <w:rsid w:val="00905512"/>
    <w:rsid w:val="0093082D"/>
    <w:rsid w:val="00936D09"/>
    <w:rsid w:val="00956BC9"/>
    <w:rsid w:val="00982C21"/>
    <w:rsid w:val="009B00AE"/>
    <w:rsid w:val="009D72A8"/>
    <w:rsid w:val="009E2CEC"/>
    <w:rsid w:val="009E38A6"/>
    <w:rsid w:val="009E575B"/>
    <w:rsid w:val="009E786F"/>
    <w:rsid w:val="00A0303F"/>
    <w:rsid w:val="00A2184E"/>
    <w:rsid w:val="00A3154C"/>
    <w:rsid w:val="00A34D2F"/>
    <w:rsid w:val="00AA0363"/>
    <w:rsid w:val="00AA1F0A"/>
    <w:rsid w:val="00AA1F43"/>
    <w:rsid w:val="00AD195C"/>
    <w:rsid w:val="00AD338F"/>
    <w:rsid w:val="00AE331F"/>
    <w:rsid w:val="00B027E4"/>
    <w:rsid w:val="00B10E6C"/>
    <w:rsid w:val="00B15AB5"/>
    <w:rsid w:val="00B15D43"/>
    <w:rsid w:val="00B17C7D"/>
    <w:rsid w:val="00B5066A"/>
    <w:rsid w:val="00B513BF"/>
    <w:rsid w:val="00B8001F"/>
    <w:rsid w:val="00B81811"/>
    <w:rsid w:val="00B8249D"/>
    <w:rsid w:val="00B83CA7"/>
    <w:rsid w:val="00B845AD"/>
    <w:rsid w:val="00B923B8"/>
    <w:rsid w:val="00BA7EB4"/>
    <w:rsid w:val="00BB56E1"/>
    <w:rsid w:val="00BB6CCA"/>
    <w:rsid w:val="00BF5595"/>
    <w:rsid w:val="00C055F2"/>
    <w:rsid w:val="00C1575F"/>
    <w:rsid w:val="00C259A8"/>
    <w:rsid w:val="00C560F4"/>
    <w:rsid w:val="00C85372"/>
    <w:rsid w:val="00CA46D7"/>
    <w:rsid w:val="00CA4E05"/>
    <w:rsid w:val="00CA6160"/>
    <w:rsid w:val="00CB4125"/>
    <w:rsid w:val="00CB794D"/>
    <w:rsid w:val="00CC77BF"/>
    <w:rsid w:val="00CC7DA6"/>
    <w:rsid w:val="00D02144"/>
    <w:rsid w:val="00D1118B"/>
    <w:rsid w:val="00D1453E"/>
    <w:rsid w:val="00D43585"/>
    <w:rsid w:val="00D501A5"/>
    <w:rsid w:val="00D50D61"/>
    <w:rsid w:val="00D54FC7"/>
    <w:rsid w:val="00D850FC"/>
    <w:rsid w:val="00D93EB1"/>
    <w:rsid w:val="00D9470C"/>
    <w:rsid w:val="00D953A7"/>
    <w:rsid w:val="00DA0C9F"/>
    <w:rsid w:val="00DB2731"/>
    <w:rsid w:val="00DB3B64"/>
    <w:rsid w:val="00DD51F2"/>
    <w:rsid w:val="00DF0E96"/>
    <w:rsid w:val="00E07FF1"/>
    <w:rsid w:val="00E32BAA"/>
    <w:rsid w:val="00E5450F"/>
    <w:rsid w:val="00E627E8"/>
    <w:rsid w:val="00E64907"/>
    <w:rsid w:val="00E739AD"/>
    <w:rsid w:val="00E74047"/>
    <w:rsid w:val="00E80576"/>
    <w:rsid w:val="00E81655"/>
    <w:rsid w:val="00E84DF8"/>
    <w:rsid w:val="00E85EAF"/>
    <w:rsid w:val="00E94256"/>
    <w:rsid w:val="00EA12B7"/>
    <w:rsid w:val="00EA1C69"/>
    <w:rsid w:val="00EA21CA"/>
    <w:rsid w:val="00EA292C"/>
    <w:rsid w:val="00EE034A"/>
    <w:rsid w:val="00EE4780"/>
    <w:rsid w:val="00EF3C29"/>
    <w:rsid w:val="00F120CC"/>
    <w:rsid w:val="00F134D5"/>
    <w:rsid w:val="00F25C75"/>
    <w:rsid w:val="00F32A86"/>
    <w:rsid w:val="00F368CB"/>
    <w:rsid w:val="00F563BE"/>
    <w:rsid w:val="00F64CA7"/>
    <w:rsid w:val="00F71E5E"/>
    <w:rsid w:val="00F720B9"/>
    <w:rsid w:val="00F81CA6"/>
    <w:rsid w:val="00FA0CEA"/>
    <w:rsid w:val="00FB2018"/>
    <w:rsid w:val="00FB276B"/>
    <w:rsid w:val="00FC0937"/>
    <w:rsid w:val="00FE21F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9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8.png"/><Relationship Id="rId9" Type="http://schemas.openxmlformats.org/officeDocument/2006/relationships/hyperlink" Target="https://open.spotify.com/show/2yMgvH1iyiuHPNA1pFxZbI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9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8.png"/><Relationship Id="rId9" Type="http://schemas.openxmlformats.org/officeDocument/2006/relationships/hyperlink" Target="https://open.spotify.com/show/2yMgvH1iyiuHPNA1pFxZb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11</cp:revision>
  <cp:lastPrinted>2022-08-02T13:23:00Z</cp:lastPrinted>
  <dcterms:created xsi:type="dcterms:W3CDTF">2022-10-11T15:19:00Z</dcterms:created>
  <dcterms:modified xsi:type="dcterms:W3CDTF">2022-10-18T08:13:00Z</dcterms:modified>
</cp:coreProperties>
</file>