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511B3" w14:textId="3EAA8212" w:rsidR="0014309F" w:rsidRPr="00846D3F" w:rsidRDefault="0014309F" w:rsidP="008E75C6">
      <w:pPr>
        <w:jc w:val="left"/>
        <w:rPr>
          <w:rFonts w:ascii="Calibri" w:hAnsi="Calibri" w:cs="Calibri"/>
          <w:b/>
          <w:szCs w:val="24"/>
        </w:rPr>
      </w:pPr>
    </w:p>
    <w:p w14:paraId="2E4CB9CB" w14:textId="77777777" w:rsidR="000942A2" w:rsidRPr="00846D3F" w:rsidRDefault="000942A2" w:rsidP="008E75C6">
      <w:pPr>
        <w:jc w:val="left"/>
        <w:rPr>
          <w:rFonts w:ascii="Calibri" w:hAnsi="Calibri" w:cs="Calibri"/>
          <w:b/>
          <w:szCs w:val="24"/>
        </w:rPr>
      </w:pPr>
    </w:p>
    <w:p w14:paraId="1674D8BF" w14:textId="438F7ECD" w:rsidR="0014309F" w:rsidRPr="007E6D4B" w:rsidRDefault="007E6D4B" w:rsidP="008E75C6">
      <w:pPr>
        <w:jc w:val="left"/>
        <w:rPr>
          <w:rFonts w:ascii="Calibri" w:hAnsi="Calibri" w:cs="Calibri"/>
          <w:szCs w:val="24"/>
        </w:rPr>
      </w:pPr>
      <w:r w:rsidRPr="007E6D4B">
        <w:rPr>
          <w:rFonts w:ascii="Fedra Sans Std Demi" w:hAnsi="Fedra Sans Std Demi" w:cs="Calibri"/>
          <w:color w:val="071D49"/>
          <w:szCs w:val="24"/>
        </w:rPr>
        <w:t>Comunicato stampa</w:t>
      </w:r>
    </w:p>
    <w:p w14:paraId="487E1B63" w14:textId="2EAB9A6F" w:rsidR="00C63299" w:rsidRPr="00C63299" w:rsidRDefault="00C63299" w:rsidP="00C63299">
      <w:pPr>
        <w:spacing w:before="240"/>
        <w:jc w:val="center"/>
        <w:rPr>
          <w:rFonts w:ascii="Calibri" w:hAnsi="Calibri" w:cs="Calibri"/>
          <w:b/>
          <w:sz w:val="28"/>
          <w:szCs w:val="28"/>
        </w:rPr>
      </w:pPr>
      <w:r w:rsidRPr="00C63299">
        <w:rPr>
          <w:rFonts w:ascii="Calibri" w:hAnsi="Calibri" w:cs="Calibri"/>
          <w:b/>
          <w:sz w:val="28"/>
          <w:szCs w:val="28"/>
        </w:rPr>
        <w:t xml:space="preserve">Imprese agricole: </w:t>
      </w:r>
      <w:r w:rsidR="000E1153">
        <w:rPr>
          <w:rFonts w:ascii="Calibri" w:hAnsi="Calibri" w:cs="Calibri"/>
          <w:b/>
          <w:sz w:val="28"/>
          <w:szCs w:val="28"/>
        </w:rPr>
        <w:t xml:space="preserve">sprint del digitale, </w:t>
      </w:r>
      <w:r w:rsidR="009F782F">
        <w:rPr>
          <w:rFonts w:ascii="Calibri" w:hAnsi="Calibri" w:cs="Calibri"/>
          <w:b/>
          <w:sz w:val="28"/>
          <w:szCs w:val="28"/>
        </w:rPr>
        <w:t>quasi</w:t>
      </w:r>
      <w:r w:rsidRPr="00C63299">
        <w:rPr>
          <w:rFonts w:ascii="Calibri" w:hAnsi="Calibri" w:cs="Calibri"/>
          <w:b/>
          <w:sz w:val="28"/>
          <w:szCs w:val="28"/>
        </w:rPr>
        <w:t xml:space="preserve"> </w:t>
      </w:r>
      <w:r w:rsidR="009F782F">
        <w:rPr>
          <w:rFonts w:ascii="Calibri" w:hAnsi="Calibri" w:cs="Calibri"/>
          <w:b/>
          <w:sz w:val="28"/>
          <w:szCs w:val="28"/>
        </w:rPr>
        <w:t>1 su 4</w:t>
      </w:r>
      <w:r w:rsidRPr="00C63299">
        <w:rPr>
          <w:rFonts w:ascii="Calibri" w:hAnsi="Calibri" w:cs="Calibri"/>
          <w:b/>
          <w:sz w:val="28"/>
          <w:szCs w:val="28"/>
        </w:rPr>
        <w:t xml:space="preserve"> investir</w:t>
      </w:r>
      <w:r w:rsidR="009F782F">
        <w:rPr>
          <w:rFonts w:ascii="Calibri" w:hAnsi="Calibri" w:cs="Calibri"/>
          <w:b/>
          <w:sz w:val="28"/>
          <w:szCs w:val="28"/>
        </w:rPr>
        <w:t>à</w:t>
      </w:r>
      <w:r w:rsidRPr="00C63299">
        <w:rPr>
          <w:rFonts w:ascii="Calibri" w:hAnsi="Calibri" w:cs="Calibri"/>
          <w:b/>
          <w:sz w:val="28"/>
          <w:szCs w:val="28"/>
        </w:rPr>
        <w:t xml:space="preserve"> </w:t>
      </w:r>
      <w:r w:rsidR="000E1153">
        <w:rPr>
          <w:rFonts w:ascii="Calibri" w:hAnsi="Calibri" w:cs="Calibri"/>
          <w:b/>
          <w:sz w:val="28"/>
          <w:szCs w:val="28"/>
        </w:rPr>
        <w:t>in 4.0 entro il 2024</w:t>
      </w:r>
    </w:p>
    <w:p w14:paraId="5E13C037" w14:textId="0A28EBFA" w:rsidR="00C63299" w:rsidRPr="006601FD" w:rsidRDefault="00C63299" w:rsidP="00C63299">
      <w:pPr>
        <w:spacing w:before="240"/>
        <w:jc w:val="center"/>
        <w:rPr>
          <w:rFonts w:ascii="Calibri" w:hAnsi="Calibri" w:cs="Calibri"/>
          <w:b/>
          <w:sz w:val="28"/>
          <w:szCs w:val="28"/>
        </w:rPr>
      </w:pPr>
      <w:r w:rsidRPr="006601FD">
        <w:rPr>
          <w:rFonts w:ascii="Calibri" w:hAnsi="Calibri" w:cs="Calibri"/>
          <w:b/>
          <w:sz w:val="28"/>
          <w:szCs w:val="28"/>
        </w:rPr>
        <w:t>La metà punterà sul green</w:t>
      </w:r>
    </w:p>
    <w:p w14:paraId="1329DC18" w14:textId="18B2816C" w:rsidR="00E42F02" w:rsidRDefault="00C63299" w:rsidP="00C63299">
      <w:pPr>
        <w:spacing w:before="240"/>
        <w:jc w:val="center"/>
        <w:rPr>
          <w:rFonts w:ascii="Calibri" w:hAnsi="Calibri" w:cs="Calibri"/>
          <w:b/>
          <w:sz w:val="28"/>
          <w:szCs w:val="28"/>
        </w:rPr>
      </w:pPr>
      <w:r w:rsidRPr="006601FD">
        <w:rPr>
          <w:rFonts w:ascii="Calibri" w:hAnsi="Calibri" w:cs="Calibri"/>
          <w:b/>
          <w:sz w:val="28"/>
          <w:szCs w:val="28"/>
        </w:rPr>
        <w:t xml:space="preserve">Solo il 16% si è attivato per utilizzare le risorse del </w:t>
      </w:r>
      <w:proofErr w:type="spellStart"/>
      <w:r w:rsidRPr="006601FD">
        <w:rPr>
          <w:rFonts w:ascii="Calibri" w:hAnsi="Calibri" w:cs="Calibri"/>
          <w:b/>
          <w:sz w:val="28"/>
          <w:szCs w:val="28"/>
        </w:rPr>
        <w:t>Pnrr</w:t>
      </w:r>
      <w:proofErr w:type="spellEnd"/>
    </w:p>
    <w:p w14:paraId="721EAD02" w14:textId="77777777" w:rsidR="00E42F02" w:rsidRDefault="00E42F02" w:rsidP="00C63299">
      <w:pPr>
        <w:jc w:val="center"/>
        <w:rPr>
          <w:rFonts w:ascii="Calibri" w:hAnsi="Calibri" w:cs="Calibri"/>
          <w:b/>
          <w:sz w:val="28"/>
          <w:szCs w:val="28"/>
        </w:rPr>
      </w:pPr>
    </w:p>
    <w:p w14:paraId="3DF744BF" w14:textId="77777777" w:rsidR="004E39AA" w:rsidRPr="004E39AA" w:rsidRDefault="004E39AA" w:rsidP="004E39AA">
      <w:pPr>
        <w:rPr>
          <w:rFonts w:ascii="Calibri" w:hAnsi="Calibri" w:cs="Calibri"/>
          <w:bCs/>
          <w:szCs w:val="24"/>
        </w:rPr>
      </w:pPr>
    </w:p>
    <w:p w14:paraId="064F9D37" w14:textId="596253B2" w:rsidR="006601FD" w:rsidRPr="006601FD" w:rsidRDefault="006601FD" w:rsidP="006601FD">
      <w:pPr>
        <w:spacing w:before="240"/>
        <w:rPr>
          <w:rFonts w:ascii="Calibri" w:hAnsi="Calibri" w:cs="Calibri"/>
          <w:bCs/>
          <w:sz w:val="22"/>
        </w:rPr>
      </w:pPr>
      <w:r>
        <w:rPr>
          <w:rFonts w:ascii="Calibri" w:hAnsi="Calibri" w:cs="Calibri"/>
          <w:sz w:val="22"/>
        </w:rPr>
        <w:t xml:space="preserve">Roma, </w:t>
      </w:r>
      <w:r w:rsidR="00BA2D37">
        <w:rPr>
          <w:rFonts w:ascii="Calibri" w:hAnsi="Calibri" w:cs="Calibri"/>
          <w:sz w:val="22"/>
        </w:rPr>
        <w:t>09</w:t>
      </w:r>
      <w:r>
        <w:rPr>
          <w:rFonts w:ascii="Calibri" w:hAnsi="Calibri" w:cs="Calibri"/>
          <w:sz w:val="22"/>
        </w:rPr>
        <w:t xml:space="preserve"> </w:t>
      </w:r>
      <w:r w:rsidR="00FC5444">
        <w:rPr>
          <w:rFonts w:ascii="Calibri" w:hAnsi="Calibri" w:cs="Calibri"/>
          <w:sz w:val="22"/>
        </w:rPr>
        <w:t xml:space="preserve">giugno </w:t>
      </w:r>
      <w:r>
        <w:rPr>
          <w:rFonts w:ascii="Calibri" w:hAnsi="Calibri" w:cs="Calibri"/>
          <w:sz w:val="22"/>
        </w:rPr>
        <w:t xml:space="preserve">2023- </w:t>
      </w:r>
      <w:r w:rsidRPr="006601FD">
        <w:rPr>
          <w:rFonts w:ascii="Calibri" w:hAnsi="Calibri" w:cs="Calibri"/>
          <w:bCs/>
          <w:sz w:val="22"/>
        </w:rPr>
        <w:t xml:space="preserve">Le imprese agricole accelerano il passo per recuperare il ritardo nel cammino verso la transizione digitale. Il 23% delle aziende del settore sta adottando o intende adottare tecnologie 4.0 tra il 2022 e il 2024, contro il 4% del triennio 2017-2019 e il successivo balzo al 20% nel biennio dell’emergenza pandemica. Ma per un’azienda del settore su quattro le risorse economiche insufficienti sono il principale freno ad investire nella digitalizzazione. Anche per queste imprese il </w:t>
      </w:r>
      <w:proofErr w:type="spellStart"/>
      <w:r w:rsidRPr="006601FD">
        <w:rPr>
          <w:rFonts w:ascii="Calibri" w:hAnsi="Calibri" w:cs="Calibri"/>
          <w:bCs/>
          <w:sz w:val="22"/>
        </w:rPr>
        <w:t>Pnrr</w:t>
      </w:r>
      <w:proofErr w:type="spellEnd"/>
      <w:r w:rsidRPr="006601FD">
        <w:rPr>
          <w:rFonts w:ascii="Calibri" w:hAnsi="Calibri" w:cs="Calibri"/>
          <w:bCs/>
          <w:sz w:val="22"/>
        </w:rPr>
        <w:t xml:space="preserve"> potrebbe essere un’opportunità da cogliere, tuttavia il 69% delle aziende del settore dichiara di non volere o di non potere accedere a queste risorse. Mentre solo il 16% si è già attivato e un altro 15% ha in programma di farlo. </w:t>
      </w:r>
    </w:p>
    <w:p w14:paraId="374EE810" w14:textId="2B968AFF" w:rsidR="006601FD" w:rsidRDefault="006601FD" w:rsidP="006601FD">
      <w:pPr>
        <w:spacing w:before="240"/>
        <w:rPr>
          <w:rFonts w:ascii="Calibri" w:hAnsi="Calibri" w:cs="Calibri"/>
          <w:bCs/>
          <w:sz w:val="22"/>
        </w:rPr>
      </w:pPr>
      <w:proofErr w:type="gramStart"/>
      <w:r w:rsidRPr="006601FD">
        <w:rPr>
          <w:rFonts w:ascii="Calibri" w:hAnsi="Calibri" w:cs="Calibri"/>
          <w:bCs/>
          <w:sz w:val="22"/>
        </w:rPr>
        <w:t>E’</w:t>
      </w:r>
      <w:proofErr w:type="gramEnd"/>
      <w:r w:rsidRPr="006601FD">
        <w:rPr>
          <w:rFonts w:ascii="Calibri" w:hAnsi="Calibri" w:cs="Calibri"/>
          <w:bCs/>
          <w:sz w:val="22"/>
        </w:rPr>
        <w:t xml:space="preserve"> quanto emerge da un’indagine del </w:t>
      </w:r>
      <w:r w:rsidRPr="006601FD">
        <w:rPr>
          <w:rFonts w:ascii="Calibri" w:hAnsi="Calibri" w:cs="Calibri"/>
          <w:b/>
          <w:sz w:val="22"/>
        </w:rPr>
        <w:t xml:space="preserve">Centro Studi Tagliacarne </w:t>
      </w:r>
      <w:r w:rsidRPr="006601FD">
        <w:rPr>
          <w:rFonts w:ascii="Calibri" w:hAnsi="Calibri" w:cs="Calibri"/>
          <w:bCs/>
          <w:sz w:val="22"/>
        </w:rPr>
        <w:t xml:space="preserve">su un campione di 800 imprese agricole con almeno 2 addetti secondo cui un’impresa agricola su due conta di superare i livelli </w:t>
      </w:r>
      <w:proofErr w:type="spellStart"/>
      <w:r w:rsidRPr="006601FD">
        <w:rPr>
          <w:rFonts w:ascii="Calibri" w:hAnsi="Calibri" w:cs="Calibri"/>
          <w:bCs/>
          <w:sz w:val="22"/>
        </w:rPr>
        <w:t>pre</w:t>
      </w:r>
      <w:proofErr w:type="spellEnd"/>
      <w:r w:rsidRPr="006601FD">
        <w:rPr>
          <w:rFonts w:ascii="Calibri" w:hAnsi="Calibri" w:cs="Calibri"/>
          <w:bCs/>
          <w:sz w:val="22"/>
        </w:rPr>
        <w:t>-Covid entro il 2024.</w:t>
      </w:r>
    </w:p>
    <w:p w14:paraId="561BED80" w14:textId="0C3F53FB" w:rsidR="002A4774" w:rsidRDefault="002A4774" w:rsidP="006601FD">
      <w:pPr>
        <w:spacing w:before="240"/>
        <w:rPr>
          <w:rFonts w:ascii="Calibri" w:hAnsi="Calibri" w:cs="Calibri"/>
          <w:bCs/>
          <w:sz w:val="22"/>
        </w:rPr>
      </w:pPr>
      <w:r w:rsidRPr="002A4774">
        <w:rPr>
          <w:rFonts w:ascii="Calibri" w:hAnsi="Calibri" w:cs="Calibri"/>
          <w:bCs/>
          <w:sz w:val="22"/>
        </w:rPr>
        <w:t xml:space="preserve">“L'agricoltura </w:t>
      </w:r>
      <w:r>
        <w:rPr>
          <w:rFonts w:ascii="Calibri" w:hAnsi="Calibri" w:cs="Calibri"/>
          <w:bCs/>
          <w:sz w:val="22"/>
        </w:rPr>
        <w:t xml:space="preserve">si </w:t>
      </w:r>
      <w:r w:rsidRPr="002A4774">
        <w:rPr>
          <w:rFonts w:ascii="Calibri" w:hAnsi="Calibri" w:cs="Calibri"/>
          <w:bCs/>
          <w:sz w:val="22"/>
        </w:rPr>
        <w:t xml:space="preserve">sta dimostrando sempre più ricettiva nell'adozione delle nuove tecnologie abilitanti con l'obiettivo di competere al meglio sul mercato”. È quanto evidenzia il </w:t>
      </w:r>
      <w:r w:rsidRPr="002A4774">
        <w:rPr>
          <w:rFonts w:ascii="Calibri" w:hAnsi="Calibri" w:cs="Calibri"/>
          <w:b/>
          <w:sz w:val="22"/>
        </w:rPr>
        <w:t>presidente di Unioncamere</w:t>
      </w:r>
      <w:r w:rsidR="00F61FA8">
        <w:rPr>
          <w:rFonts w:ascii="Calibri" w:hAnsi="Calibri" w:cs="Calibri"/>
          <w:b/>
          <w:sz w:val="22"/>
        </w:rPr>
        <w:t>,</w:t>
      </w:r>
      <w:r w:rsidRPr="002A4774">
        <w:rPr>
          <w:rFonts w:ascii="Calibri" w:hAnsi="Calibri" w:cs="Calibri"/>
          <w:b/>
          <w:sz w:val="22"/>
        </w:rPr>
        <w:t xml:space="preserve"> Andrea Prete</w:t>
      </w:r>
      <w:r w:rsidRPr="002A4774">
        <w:rPr>
          <w:rFonts w:ascii="Calibri" w:hAnsi="Calibri" w:cs="Calibri"/>
          <w:bCs/>
          <w:sz w:val="22"/>
        </w:rPr>
        <w:t>, che aggiunge “le imprese agricole sono più propense delle altre realtà imprenditoriali a investire in capitale umano per migliorarne le competenze e per favorire la partecipazione dei dipendenti allo sviluppo dei progetti di innovazione, in una logica di condivisione. Tuttavia, per dare un ulteriore slancio al processo di cambiamento in corso è necessario sviluppare policy mirate che favoriscano la modernizzazione dell’intera filiera che resta strategica per la nostra economia”</w:t>
      </w:r>
      <w:r w:rsidR="005E2B6A">
        <w:rPr>
          <w:rFonts w:ascii="Calibri" w:hAnsi="Calibri" w:cs="Calibri"/>
          <w:bCs/>
          <w:sz w:val="22"/>
        </w:rPr>
        <w:t>.</w:t>
      </w:r>
    </w:p>
    <w:p w14:paraId="69297BEC" w14:textId="77777777" w:rsidR="006601FD" w:rsidRPr="006601FD" w:rsidRDefault="006601FD" w:rsidP="006601FD">
      <w:pPr>
        <w:spacing w:before="240"/>
        <w:rPr>
          <w:rFonts w:ascii="Calibri" w:hAnsi="Calibri" w:cs="Calibri"/>
          <w:bCs/>
          <w:sz w:val="22"/>
        </w:rPr>
      </w:pPr>
      <w:r w:rsidRPr="006601FD">
        <w:rPr>
          <w:rFonts w:ascii="Calibri" w:hAnsi="Calibri" w:cs="Calibri"/>
          <w:bCs/>
          <w:sz w:val="22"/>
        </w:rPr>
        <w:t>Più nel dettaglio la scarsità delle risorse finanziarie è un ostacolo agli investimenti in tecnologie abilitanti avvertito particolarmente dalle imprese femminili del settore (49% contro il 25% delle aziende agricole complessive). Ma a creare maggiori difficoltà ad investire nella transizione digitale sono anche i costi troppo elevati delle tecnologie (23%) e la scarsa informazione sull’iter per investire in tecnologie digitali (21%).</w:t>
      </w:r>
    </w:p>
    <w:p w14:paraId="7784079D" w14:textId="77777777" w:rsidR="006601FD" w:rsidRPr="006601FD" w:rsidRDefault="006601FD" w:rsidP="006601FD">
      <w:pPr>
        <w:spacing w:before="240"/>
        <w:rPr>
          <w:rFonts w:ascii="Calibri" w:hAnsi="Calibri" w:cs="Calibri"/>
          <w:b/>
          <w:sz w:val="22"/>
        </w:rPr>
      </w:pPr>
      <w:r w:rsidRPr="006601FD">
        <w:rPr>
          <w:rFonts w:ascii="Calibri" w:hAnsi="Calibri" w:cs="Calibri"/>
          <w:b/>
          <w:sz w:val="22"/>
        </w:rPr>
        <w:t xml:space="preserve">Ma più di </w:t>
      </w:r>
      <w:proofErr w:type="gramStart"/>
      <w:r w:rsidRPr="006601FD">
        <w:rPr>
          <w:rFonts w:ascii="Calibri" w:hAnsi="Calibri" w:cs="Calibri"/>
          <w:b/>
          <w:sz w:val="22"/>
        </w:rPr>
        <w:t>8</w:t>
      </w:r>
      <w:proofErr w:type="gramEnd"/>
      <w:r w:rsidRPr="006601FD">
        <w:rPr>
          <w:rFonts w:ascii="Calibri" w:hAnsi="Calibri" w:cs="Calibri"/>
          <w:b/>
          <w:sz w:val="22"/>
        </w:rPr>
        <w:t xml:space="preserve"> imprese su dieci ricorrono all’autofinanziamento</w:t>
      </w:r>
    </w:p>
    <w:p w14:paraId="1F250E0B" w14:textId="77777777" w:rsidR="006601FD" w:rsidRPr="006601FD" w:rsidRDefault="006601FD" w:rsidP="006601FD">
      <w:pPr>
        <w:spacing w:before="240"/>
        <w:rPr>
          <w:rFonts w:ascii="Calibri" w:hAnsi="Calibri" w:cs="Calibri"/>
          <w:bCs/>
          <w:sz w:val="22"/>
        </w:rPr>
      </w:pPr>
      <w:r w:rsidRPr="006601FD">
        <w:rPr>
          <w:rFonts w:ascii="Calibri" w:hAnsi="Calibri" w:cs="Calibri"/>
          <w:bCs/>
          <w:sz w:val="22"/>
        </w:rPr>
        <w:t>L’86% delle imprese agricole fa ricorso al capitale proprio o familiare per finanziare la gestione corrente e realizzare investimenti. Un dato che conferma la scarsa capitalizzazione delle aziende di questo settore, dove il capitale aziendale si confonde con quello personale. Ma quando le aziende ricorrono all’esterno per trovare le risorse necessarie, il 52% si rivolge agli istituti di credito mentre appena il 25% utilizza i finanziamenti pubblici diretti.</w:t>
      </w:r>
    </w:p>
    <w:p w14:paraId="6B988726" w14:textId="77777777" w:rsidR="006601FD" w:rsidRPr="006601FD" w:rsidRDefault="006601FD" w:rsidP="006601FD">
      <w:pPr>
        <w:spacing w:before="240"/>
        <w:rPr>
          <w:rFonts w:ascii="Calibri" w:hAnsi="Calibri" w:cs="Calibri"/>
          <w:b/>
          <w:sz w:val="22"/>
        </w:rPr>
      </w:pPr>
      <w:r w:rsidRPr="006601FD">
        <w:rPr>
          <w:rFonts w:ascii="Calibri" w:hAnsi="Calibri" w:cs="Calibri"/>
          <w:b/>
          <w:sz w:val="22"/>
        </w:rPr>
        <w:t>Donne e giovani gli imprenditori agricoli più green, ma il Sud resta indietro</w:t>
      </w:r>
    </w:p>
    <w:p w14:paraId="55859DC3" w14:textId="77777777" w:rsidR="006601FD" w:rsidRPr="006601FD" w:rsidRDefault="006601FD" w:rsidP="006601FD">
      <w:pPr>
        <w:spacing w:before="240"/>
        <w:rPr>
          <w:rFonts w:ascii="Calibri" w:hAnsi="Calibri" w:cs="Calibri"/>
          <w:bCs/>
          <w:sz w:val="22"/>
        </w:rPr>
      </w:pPr>
      <w:r w:rsidRPr="006601FD">
        <w:rPr>
          <w:rFonts w:ascii="Calibri" w:hAnsi="Calibri" w:cs="Calibri"/>
          <w:bCs/>
          <w:sz w:val="22"/>
        </w:rPr>
        <w:lastRenderedPageBreak/>
        <w:t xml:space="preserve">La metà delle imprese agricole (il 49% per esattezza) sta realizzando o intende realizzare investimenti green tra il 2022 e il 2024, con picchi che salgono al 61% per le imprese guidate da donne e al 55% per quelle under 35. Ma il Sud resta indietro (43%). Mentre dal punto di vista settoriale più sensibili alla sostenibilità si rilevano le imprese del settore agricolo (58%) meno quelle della Silvicoltura (31%). Imboccare la strada della transizione green non sembra preoccupare particolarmente le imprese del settore. L’86% delle imprese dichiara, infatti, l’assenza di particolari difficoltà all’introduzione di investimenti green nella propria attività. Maggiori problematicità si riscontrano in corrispondenza della ricerca delle figure professionali necessarie (12%) e dei costi di approvvigionamento delle materie prime verdi troppo elevate (10%). Mentre le risorse finanziarie sono un problema solo per l’8% delle imprese del settore.  </w:t>
      </w:r>
    </w:p>
    <w:p w14:paraId="02021D7B" w14:textId="77777777" w:rsidR="006601FD" w:rsidRPr="006601FD" w:rsidRDefault="006601FD" w:rsidP="006601FD">
      <w:pPr>
        <w:spacing w:before="240"/>
        <w:rPr>
          <w:rFonts w:ascii="Calibri" w:hAnsi="Calibri" w:cs="Calibri"/>
          <w:bCs/>
          <w:sz w:val="22"/>
        </w:rPr>
      </w:pPr>
      <w:r w:rsidRPr="006601FD">
        <w:rPr>
          <w:rFonts w:ascii="Calibri" w:hAnsi="Calibri" w:cs="Calibri"/>
          <w:bCs/>
          <w:sz w:val="22"/>
        </w:rPr>
        <w:t xml:space="preserve">Ben il 78% delle imprese intervistate dichiara che investire in sostenibilità è un’opportunità per il proprio business, contro il 63% delle imprese industriali e il 55% dei servizi. Ma per il 22% la via “verde” rappresenta solo un vincolo. In particolare, il 47% è mosso dalla necessità di rispettare le regole imposte a livello nazionale ed europeo, il 22% dalla consapevolezza del rischio aziendale causato dall’inquinamento e dal cambiamento climatico, il 21% dalle migliori ricadute sull’immagine e sulla reputazione dell’azienda. </w:t>
      </w:r>
    </w:p>
    <w:p w14:paraId="2631B0C8" w14:textId="77777777" w:rsidR="006601FD" w:rsidRPr="006601FD" w:rsidRDefault="006601FD" w:rsidP="006601FD">
      <w:pPr>
        <w:spacing w:before="240"/>
        <w:rPr>
          <w:rFonts w:ascii="Calibri" w:hAnsi="Calibri" w:cs="Calibri"/>
          <w:bCs/>
          <w:sz w:val="22"/>
        </w:rPr>
      </w:pPr>
      <w:r w:rsidRPr="006601FD">
        <w:rPr>
          <w:rFonts w:ascii="Calibri" w:hAnsi="Calibri" w:cs="Calibri"/>
          <w:bCs/>
          <w:sz w:val="22"/>
        </w:rPr>
        <w:t xml:space="preserve">Tra i principali risultati conseguiti dalle aziende che hanno realizzato investimenti verdi - il 50% nel quinquennio 2017-2021 - la riduzione dei rifiuti o degli scarti di produzione va per la maggiore (63%). Seguono, al secondo posto l’utilizzo di energie rinnovabili (47%) e al terzo il risparmio idrico (39%). </w:t>
      </w:r>
    </w:p>
    <w:p w14:paraId="5B57ABDE" w14:textId="77777777" w:rsidR="006601FD" w:rsidRPr="006601FD" w:rsidRDefault="006601FD" w:rsidP="006601FD">
      <w:pPr>
        <w:spacing w:before="240"/>
        <w:rPr>
          <w:rFonts w:ascii="Calibri" w:hAnsi="Calibri" w:cs="Calibri"/>
          <w:b/>
          <w:sz w:val="22"/>
        </w:rPr>
      </w:pPr>
      <w:r w:rsidRPr="006601FD">
        <w:rPr>
          <w:rFonts w:ascii="Calibri" w:hAnsi="Calibri" w:cs="Calibri"/>
          <w:b/>
          <w:sz w:val="22"/>
        </w:rPr>
        <w:t>Passaggio generazionale è un problema solo per un’impresa su dieci</w:t>
      </w:r>
    </w:p>
    <w:p w14:paraId="4D6951DE" w14:textId="77777777" w:rsidR="006601FD" w:rsidRPr="006601FD" w:rsidRDefault="006601FD" w:rsidP="006601FD">
      <w:pPr>
        <w:spacing w:before="240"/>
        <w:rPr>
          <w:rFonts w:ascii="Calibri" w:hAnsi="Calibri" w:cs="Calibri"/>
          <w:bCs/>
          <w:sz w:val="22"/>
        </w:rPr>
      </w:pPr>
      <w:r w:rsidRPr="006601FD">
        <w:rPr>
          <w:rFonts w:ascii="Calibri" w:hAnsi="Calibri" w:cs="Calibri"/>
          <w:bCs/>
          <w:sz w:val="22"/>
        </w:rPr>
        <w:t xml:space="preserve">Appena il 13% delle imprese agricole dichiara di avere più di qualche grattacapo con il passaggio del “testimone”. Ma per il 59% dei casi il ricambio generazionale non è un problema, perché è già stato fatto oppure perché non in agenda. Il 45% delle imprese è ancora alla prima generazione, con picchi nella Silvicoltura (68%) e nel Sud Italia (59%). Mentre, il 38% è alla seconda generazione e solo il 16% alla terza o successiva. Colpisce che più dei due terzi dei giovani imprenditori agricoli non hanno fondato l’impresa ma l’hanno ricevuta in eredità. </w:t>
      </w:r>
    </w:p>
    <w:p w14:paraId="5C7692E7" w14:textId="77777777" w:rsidR="006601FD" w:rsidRPr="006601FD" w:rsidRDefault="006601FD" w:rsidP="006601FD">
      <w:pPr>
        <w:spacing w:before="240"/>
        <w:rPr>
          <w:rFonts w:ascii="Calibri" w:hAnsi="Calibri" w:cs="Calibri"/>
          <w:b/>
          <w:sz w:val="22"/>
        </w:rPr>
      </w:pPr>
      <w:r w:rsidRPr="006601FD">
        <w:rPr>
          <w:rFonts w:ascii="Calibri" w:hAnsi="Calibri" w:cs="Calibri"/>
          <w:b/>
          <w:sz w:val="22"/>
        </w:rPr>
        <w:t>Più laureati tra imprese agricole a guida giovanile e femminile</w:t>
      </w:r>
    </w:p>
    <w:p w14:paraId="4BEE9F47" w14:textId="77777777" w:rsidR="006601FD" w:rsidRPr="006601FD" w:rsidRDefault="006601FD" w:rsidP="006601FD">
      <w:pPr>
        <w:spacing w:before="240"/>
        <w:rPr>
          <w:rFonts w:ascii="Calibri" w:hAnsi="Calibri" w:cs="Calibri"/>
          <w:bCs/>
          <w:sz w:val="22"/>
        </w:rPr>
      </w:pPr>
      <w:r w:rsidRPr="006601FD">
        <w:rPr>
          <w:rFonts w:ascii="Calibri" w:hAnsi="Calibri" w:cs="Calibri"/>
          <w:bCs/>
          <w:sz w:val="22"/>
        </w:rPr>
        <w:t>Sebbene solo un imprenditore agricolo su dieci sia in possesso di un diploma di laurea, la quota di laureati sale al 26% tra le imprese giovanili e al 21% tra quelle femminili. Nel complesso i “dottori” sono in numero maggiore tra gli i capitani di impresa con più di 50 addetti (23%) e nel Centro Italia (18%).</w:t>
      </w:r>
    </w:p>
    <w:p w14:paraId="1C614E32" w14:textId="77777777" w:rsidR="006601FD" w:rsidRPr="006601FD" w:rsidRDefault="006601FD" w:rsidP="006601FD">
      <w:pPr>
        <w:spacing w:before="240"/>
        <w:rPr>
          <w:rFonts w:ascii="Calibri" w:hAnsi="Calibri" w:cs="Calibri"/>
          <w:b/>
          <w:sz w:val="22"/>
        </w:rPr>
      </w:pPr>
      <w:r w:rsidRPr="006601FD">
        <w:rPr>
          <w:rFonts w:ascii="Calibri" w:hAnsi="Calibri" w:cs="Calibri"/>
          <w:b/>
          <w:sz w:val="22"/>
        </w:rPr>
        <w:t xml:space="preserve">Imprese agricole più attente a fare network </w:t>
      </w:r>
    </w:p>
    <w:p w14:paraId="5C01A11D" w14:textId="77777777" w:rsidR="006601FD" w:rsidRPr="006601FD" w:rsidRDefault="006601FD" w:rsidP="006601FD">
      <w:pPr>
        <w:spacing w:before="240"/>
        <w:rPr>
          <w:rFonts w:ascii="Calibri" w:hAnsi="Calibri" w:cs="Calibri"/>
          <w:bCs/>
          <w:sz w:val="22"/>
        </w:rPr>
      </w:pPr>
      <w:r w:rsidRPr="006601FD">
        <w:rPr>
          <w:rFonts w:ascii="Calibri" w:hAnsi="Calibri" w:cs="Calibri"/>
          <w:bCs/>
          <w:sz w:val="22"/>
        </w:rPr>
        <w:t xml:space="preserve">Le imprese agricole mostrano una maggiore capacità di fare network con gli altri attori della filiera: il 42% punta a favorire la partecipazione dei dipendenti allo sviluppo dei progetti di innovazione (contro il 37% di imprese industriali e il 32% di imprese terziarie); il 37% ad instaurare collaborazioni con le associazioni di categoria (contro 30% delle imprese industriali e il  31% delle imprese di servizi), il 35% a sviluppare partnership con altre imprese (contro al 30% delle imprese manifatturiere e il 25% di quelle di servizi); il 60% ad investire in capitale umano ( contro il 51% delle imprese manifatturiere e il  45% delle imprese di servizi). Anche nella scelta dei propri fornitori la relazione stabilita nel tempo premia. Oltre la metà delle imprese agricole scegli i propri </w:t>
      </w:r>
      <w:proofErr w:type="gramStart"/>
      <w:r w:rsidRPr="006601FD">
        <w:rPr>
          <w:rFonts w:ascii="Calibri" w:hAnsi="Calibri" w:cs="Calibri"/>
          <w:bCs/>
          <w:sz w:val="22"/>
        </w:rPr>
        <w:t>supplier infatti</w:t>
      </w:r>
      <w:proofErr w:type="gramEnd"/>
      <w:r w:rsidRPr="006601FD">
        <w:rPr>
          <w:rFonts w:ascii="Calibri" w:hAnsi="Calibri" w:cs="Calibri"/>
          <w:bCs/>
          <w:sz w:val="22"/>
        </w:rPr>
        <w:t xml:space="preserve"> in base alla fedeltà dimostrata. Mentre per il 24% è determinante il binomio qualità/prezzo e per il 16% fa la differenza l’affidabilità del fornitore. Più dinamiche sulla capacità di fare network sono, in generale, le imprese giovanili, meno quelle del Mezzogiorno. </w:t>
      </w:r>
    </w:p>
    <w:p w14:paraId="1B7EBEB1" w14:textId="77777777" w:rsidR="006601FD" w:rsidRDefault="006601FD">
      <w:pPr>
        <w:jc w:val="left"/>
        <w:rPr>
          <w:rFonts w:ascii="Calibri" w:hAnsi="Calibri" w:cs="Calibri"/>
          <w:b/>
          <w:i/>
          <w:sz w:val="22"/>
        </w:rPr>
      </w:pPr>
      <w:r>
        <w:rPr>
          <w:rFonts w:ascii="Calibri" w:hAnsi="Calibri" w:cs="Calibri"/>
          <w:b/>
          <w:i/>
          <w:sz w:val="22"/>
        </w:rPr>
        <w:br w:type="page"/>
      </w:r>
    </w:p>
    <w:p w14:paraId="7CDFDF44" w14:textId="77777777" w:rsidR="006601FD" w:rsidRDefault="006601FD" w:rsidP="006601FD">
      <w:pPr>
        <w:spacing w:before="240"/>
        <w:rPr>
          <w:rFonts w:ascii="Calibri" w:hAnsi="Calibri" w:cs="Calibri"/>
          <w:b/>
          <w:i/>
          <w:sz w:val="22"/>
        </w:rPr>
      </w:pPr>
    </w:p>
    <w:p w14:paraId="110CC378" w14:textId="0A80739C" w:rsidR="006601FD" w:rsidRPr="006601FD" w:rsidRDefault="006601FD" w:rsidP="006601FD">
      <w:pPr>
        <w:spacing w:before="240"/>
        <w:rPr>
          <w:rFonts w:ascii="Calibri" w:hAnsi="Calibri" w:cs="Calibri"/>
          <w:b/>
          <w:i/>
          <w:sz w:val="22"/>
        </w:rPr>
      </w:pPr>
      <w:r w:rsidRPr="006601FD">
        <w:rPr>
          <w:rFonts w:ascii="Calibri" w:hAnsi="Calibri" w:cs="Calibri"/>
          <w:b/>
          <w:i/>
          <w:sz w:val="22"/>
        </w:rPr>
        <w:t>Imprese che hanno adottato tecnologie 4.0 (valori%)</w:t>
      </w:r>
    </w:p>
    <w:p w14:paraId="31B386BF" w14:textId="77777777" w:rsidR="006601FD" w:rsidRPr="006601FD" w:rsidRDefault="006601FD" w:rsidP="006601FD">
      <w:pPr>
        <w:spacing w:before="240"/>
        <w:rPr>
          <w:rFonts w:ascii="Calibri" w:hAnsi="Calibri" w:cs="Calibri"/>
          <w:bCs/>
          <w:sz w:val="22"/>
        </w:rPr>
      </w:pPr>
      <w:r w:rsidRPr="006601FD">
        <w:rPr>
          <w:rFonts w:ascii="Calibri" w:hAnsi="Calibri" w:cs="Calibri"/>
          <w:noProof/>
          <w:sz w:val="22"/>
        </w:rPr>
        <w:drawing>
          <wp:inline distT="0" distB="0" distL="0" distR="0" wp14:anchorId="17B90186" wp14:editId="691942AB">
            <wp:extent cx="5613400" cy="1739900"/>
            <wp:effectExtent l="0" t="0" r="6350" b="0"/>
            <wp:docPr id="1404180661" name="Grafico 1404180661">
              <a:extLst xmlns:a="http://schemas.openxmlformats.org/drawingml/2006/main">
                <a:ext uri="{FF2B5EF4-FFF2-40B4-BE49-F238E27FC236}">
                  <a16:creationId xmlns:a16="http://schemas.microsoft.com/office/drawing/2014/main" id="{8CCBCB87-6A5F-4801-82E3-768FA6203A6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F45110C" w14:textId="77777777" w:rsidR="006601FD" w:rsidRPr="006601FD" w:rsidRDefault="006601FD" w:rsidP="006601FD">
      <w:pPr>
        <w:spacing w:before="240"/>
        <w:rPr>
          <w:rFonts w:ascii="Calibri" w:hAnsi="Calibri" w:cs="Calibri"/>
          <w:i/>
          <w:iCs/>
          <w:sz w:val="22"/>
        </w:rPr>
      </w:pPr>
      <w:r w:rsidRPr="006601FD">
        <w:rPr>
          <w:rFonts w:ascii="Calibri" w:hAnsi="Calibri" w:cs="Calibri"/>
          <w:i/>
          <w:iCs/>
          <w:sz w:val="22"/>
        </w:rPr>
        <w:t>Fonte: Indagine Centro studi Guglielmo Tagliacarne-Unioncamere 2022</w:t>
      </w:r>
      <w:r w:rsidRPr="006601FD">
        <w:rPr>
          <w:rFonts w:ascii="Calibri" w:hAnsi="Calibri" w:cs="Calibri"/>
          <w:sz w:val="22"/>
        </w:rPr>
        <w:t xml:space="preserve">  </w:t>
      </w:r>
    </w:p>
    <w:p w14:paraId="27ABD406" w14:textId="77777777" w:rsidR="006601FD" w:rsidRDefault="006601FD" w:rsidP="006601FD">
      <w:pPr>
        <w:spacing w:before="240"/>
        <w:rPr>
          <w:rFonts w:ascii="Calibri" w:hAnsi="Calibri" w:cs="Calibri"/>
          <w:bCs/>
          <w:sz w:val="22"/>
        </w:rPr>
      </w:pPr>
    </w:p>
    <w:p w14:paraId="3ACED3B4" w14:textId="77777777" w:rsidR="006601FD" w:rsidRDefault="006601FD" w:rsidP="006601FD">
      <w:pPr>
        <w:spacing w:before="240"/>
        <w:rPr>
          <w:rFonts w:ascii="Calibri" w:hAnsi="Calibri" w:cs="Calibri"/>
          <w:bCs/>
          <w:sz w:val="22"/>
        </w:rPr>
      </w:pPr>
    </w:p>
    <w:p w14:paraId="2D82B5AD" w14:textId="77777777" w:rsidR="006601FD" w:rsidRPr="006601FD" w:rsidRDefault="006601FD" w:rsidP="006601FD">
      <w:pPr>
        <w:spacing w:before="240"/>
        <w:rPr>
          <w:rFonts w:ascii="Calibri" w:hAnsi="Calibri" w:cs="Calibri"/>
          <w:bCs/>
          <w:sz w:val="22"/>
        </w:rPr>
      </w:pPr>
    </w:p>
    <w:p w14:paraId="05F1BBC8" w14:textId="77777777" w:rsidR="006601FD" w:rsidRPr="006601FD" w:rsidRDefault="006601FD" w:rsidP="006601FD">
      <w:pPr>
        <w:spacing w:before="240"/>
        <w:rPr>
          <w:rFonts w:ascii="Calibri" w:hAnsi="Calibri" w:cs="Calibri"/>
          <w:b/>
          <w:i/>
          <w:iCs/>
          <w:sz w:val="22"/>
        </w:rPr>
      </w:pPr>
      <w:r w:rsidRPr="006601FD">
        <w:rPr>
          <w:rFonts w:ascii="Calibri" w:hAnsi="Calibri" w:cs="Calibri"/>
          <w:b/>
          <w:i/>
          <w:iCs/>
          <w:sz w:val="22"/>
        </w:rPr>
        <w:t xml:space="preserve">Principali ostacoli all’introduzione </w:t>
      </w:r>
      <w:proofErr w:type="gramStart"/>
      <w:r w:rsidRPr="006601FD">
        <w:rPr>
          <w:rFonts w:ascii="Calibri" w:hAnsi="Calibri" w:cs="Calibri"/>
          <w:b/>
          <w:i/>
          <w:iCs/>
          <w:sz w:val="22"/>
        </w:rPr>
        <w:t>i</w:t>
      </w:r>
      <w:proofErr w:type="gramEnd"/>
      <w:r w:rsidRPr="006601FD">
        <w:rPr>
          <w:rFonts w:ascii="Calibri" w:hAnsi="Calibri" w:cs="Calibri"/>
          <w:b/>
          <w:i/>
          <w:iCs/>
          <w:sz w:val="22"/>
        </w:rPr>
        <w:t xml:space="preserve"> investimenti nelle tecnologie digitali 4.0 (valori%)</w:t>
      </w:r>
    </w:p>
    <w:p w14:paraId="25BD93B7" w14:textId="77777777" w:rsidR="006601FD" w:rsidRPr="006601FD" w:rsidRDefault="006601FD" w:rsidP="006601FD">
      <w:pPr>
        <w:spacing w:before="240"/>
        <w:rPr>
          <w:rFonts w:ascii="Calibri" w:hAnsi="Calibri" w:cs="Calibri"/>
          <w:bCs/>
          <w:sz w:val="22"/>
        </w:rPr>
      </w:pPr>
      <w:r w:rsidRPr="006601FD">
        <w:rPr>
          <w:rFonts w:ascii="Calibri" w:hAnsi="Calibri" w:cs="Calibri"/>
          <w:noProof/>
          <w:sz w:val="22"/>
        </w:rPr>
        <w:drawing>
          <wp:inline distT="0" distB="0" distL="0" distR="0" wp14:anchorId="4A1750C7" wp14:editId="7B82C964">
            <wp:extent cx="5695950" cy="2241550"/>
            <wp:effectExtent l="0" t="0" r="0" b="6350"/>
            <wp:docPr id="23" name="Grafico 23">
              <a:extLst xmlns:a="http://schemas.openxmlformats.org/drawingml/2006/main">
                <a:ext uri="{FF2B5EF4-FFF2-40B4-BE49-F238E27FC236}">
                  <a16:creationId xmlns:a16="http://schemas.microsoft.com/office/drawing/2014/main" id="{6D189D5C-18FE-0EFA-26D0-29CBEA3E70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4D8A5D3" w14:textId="77777777" w:rsidR="006601FD" w:rsidRPr="006601FD" w:rsidRDefault="006601FD" w:rsidP="006601FD">
      <w:pPr>
        <w:spacing w:before="240"/>
        <w:rPr>
          <w:rFonts w:ascii="Calibri" w:hAnsi="Calibri" w:cs="Calibri"/>
          <w:sz w:val="22"/>
        </w:rPr>
      </w:pPr>
      <w:r w:rsidRPr="006601FD">
        <w:rPr>
          <w:rFonts w:ascii="Calibri" w:hAnsi="Calibri" w:cs="Calibri"/>
          <w:i/>
          <w:iCs/>
          <w:sz w:val="22"/>
        </w:rPr>
        <w:t>Fonte: Indagine Centro studi Guglielmo Tagliacarne-Unioncamere 2022</w:t>
      </w:r>
      <w:r w:rsidRPr="006601FD">
        <w:rPr>
          <w:rFonts w:ascii="Calibri" w:hAnsi="Calibri" w:cs="Calibri"/>
          <w:sz w:val="22"/>
        </w:rPr>
        <w:t xml:space="preserve"> </w:t>
      </w:r>
    </w:p>
    <w:p w14:paraId="365E8165" w14:textId="77777777" w:rsidR="006601FD" w:rsidRPr="006601FD" w:rsidRDefault="006601FD" w:rsidP="006601FD">
      <w:pPr>
        <w:spacing w:before="240"/>
        <w:rPr>
          <w:rFonts w:ascii="Calibri" w:hAnsi="Calibri" w:cs="Calibri"/>
          <w:i/>
          <w:iCs/>
          <w:sz w:val="22"/>
        </w:rPr>
      </w:pPr>
      <w:r w:rsidRPr="006601FD">
        <w:rPr>
          <w:rFonts w:ascii="Calibri" w:hAnsi="Calibri" w:cs="Calibri"/>
          <w:i/>
          <w:iCs/>
          <w:sz w:val="22"/>
        </w:rPr>
        <w:t>*Domanda a risposta multipla</w:t>
      </w:r>
      <w:r w:rsidRPr="006601FD">
        <w:rPr>
          <w:rFonts w:ascii="Calibri" w:hAnsi="Calibri" w:cs="Calibri"/>
          <w:sz w:val="22"/>
        </w:rPr>
        <w:t xml:space="preserve">   </w:t>
      </w:r>
    </w:p>
    <w:p w14:paraId="35BAC631" w14:textId="77777777" w:rsidR="006601FD" w:rsidRDefault="006601FD">
      <w:pPr>
        <w:jc w:val="left"/>
        <w:rPr>
          <w:rFonts w:ascii="Calibri" w:hAnsi="Calibri" w:cs="Calibri"/>
          <w:b/>
          <w:bCs/>
          <w:i/>
          <w:iCs/>
          <w:sz w:val="22"/>
        </w:rPr>
      </w:pPr>
      <w:r>
        <w:rPr>
          <w:rFonts w:ascii="Calibri" w:hAnsi="Calibri" w:cs="Calibri"/>
          <w:b/>
          <w:bCs/>
          <w:i/>
          <w:iCs/>
          <w:sz w:val="22"/>
        </w:rPr>
        <w:br w:type="page"/>
      </w:r>
    </w:p>
    <w:p w14:paraId="6296CF57" w14:textId="68664039" w:rsidR="006601FD" w:rsidRPr="006601FD" w:rsidRDefault="006601FD" w:rsidP="006601FD">
      <w:pPr>
        <w:spacing w:before="240"/>
        <w:rPr>
          <w:rFonts w:ascii="Calibri" w:hAnsi="Calibri" w:cs="Calibri"/>
          <w:b/>
          <w:bCs/>
          <w:i/>
          <w:iCs/>
          <w:sz w:val="22"/>
        </w:rPr>
      </w:pPr>
      <w:r w:rsidRPr="006601FD">
        <w:rPr>
          <w:rFonts w:ascii="Calibri" w:hAnsi="Calibri" w:cs="Calibri"/>
          <w:b/>
          <w:bCs/>
          <w:i/>
          <w:iCs/>
          <w:sz w:val="22"/>
        </w:rPr>
        <w:t>Imprese che hanno riscontrato effetti negli investimenti green nel quadriennio 2017-21 (valori %)</w:t>
      </w:r>
    </w:p>
    <w:p w14:paraId="4E9D19AA" w14:textId="77777777" w:rsidR="006601FD" w:rsidRPr="006601FD" w:rsidRDefault="006601FD" w:rsidP="006601FD">
      <w:pPr>
        <w:spacing w:before="240"/>
        <w:rPr>
          <w:rFonts w:ascii="Calibri" w:hAnsi="Calibri" w:cs="Calibri"/>
          <w:bCs/>
          <w:sz w:val="22"/>
        </w:rPr>
      </w:pPr>
      <w:r w:rsidRPr="006601FD">
        <w:rPr>
          <w:rFonts w:ascii="Calibri" w:hAnsi="Calibri" w:cs="Calibri"/>
          <w:noProof/>
          <w:sz w:val="22"/>
        </w:rPr>
        <w:drawing>
          <wp:inline distT="0" distB="0" distL="0" distR="0" wp14:anchorId="6374FF22" wp14:editId="1A6C944B">
            <wp:extent cx="5734050" cy="3733800"/>
            <wp:effectExtent l="0" t="0" r="0" b="0"/>
            <wp:docPr id="143123584" name="Grafico 143123584">
              <a:extLst xmlns:a="http://schemas.openxmlformats.org/drawingml/2006/main">
                <a:ext uri="{FF2B5EF4-FFF2-40B4-BE49-F238E27FC236}">
                  <a16:creationId xmlns:a16="http://schemas.microsoft.com/office/drawing/2014/main" id="{6F565159-AD89-209C-1EED-30F18CA5D6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BEE7F86" w14:textId="77777777" w:rsidR="006601FD" w:rsidRPr="006601FD" w:rsidRDefault="006601FD" w:rsidP="006601FD">
      <w:pPr>
        <w:spacing w:before="240"/>
        <w:rPr>
          <w:rFonts w:ascii="Calibri" w:hAnsi="Calibri" w:cs="Calibri"/>
          <w:i/>
          <w:iCs/>
          <w:sz w:val="22"/>
        </w:rPr>
      </w:pPr>
      <w:r w:rsidRPr="006601FD">
        <w:rPr>
          <w:rFonts w:ascii="Calibri" w:hAnsi="Calibri" w:cs="Calibri"/>
          <w:i/>
          <w:iCs/>
          <w:sz w:val="22"/>
        </w:rPr>
        <w:t>Fonte: Indagine Centro studi Guglielmo Tagliacarne-Unioncamere 2022</w:t>
      </w:r>
      <w:r w:rsidRPr="006601FD">
        <w:rPr>
          <w:rFonts w:ascii="Calibri" w:hAnsi="Calibri" w:cs="Calibri"/>
          <w:sz w:val="22"/>
        </w:rPr>
        <w:t xml:space="preserve"> </w:t>
      </w:r>
    </w:p>
    <w:p w14:paraId="079F1FAF" w14:textId="77777777" w:rsidR="006601FD" w:rsidRPr="006601FD" w:rsidRDefault="006601FD" w:rsidP="006601FD">
      <w:pPr>
        <w:spacing w:before="240"/>
        <w:rPr>
          <w:rFonts w:ascii="Calibri" w:hAnsi="Calibri" w:cs="Calibri"/>
          <w:i/>
          <w:iCs/>
          <w:sz w:val="22"/>
        </w:rPr>
      </w:pPr>
      <w:r w:rsidRPr="006601FD">
        <w:rPr>
          <w:rFonts w:ascii="Calibri" w:hAnsi="Calibri" w:cs="Calibri"/>
          <w:i/>
          <w:iCs/>
          <w:sz w:val="22"/>
        </w:rPr>
        <w:t>*Domanda a risposta multipla</w:t>
      </w:r>
    </w:p>
    <w:p w14:paraId="7E8F348B" w14:textId="77777777" w:rsidR="006601FD" w:rsidRPr="006601FD" w:rsidRDefault="006601FD" w:rsidP="006601FD">
      <w:pPr>
        <w:spacing w:before="240"/>
        <w:rPr>
          <w:rFonts w:ascii="Calibri" w:hAnsi="Calibri" w:cs="Calibri"/>
          <w:b/>
          <w:bCs/>
          <w:i/>
          <w:iCs/>
          <w:sz w:val="22"/>
        </w:rPr>
      </w:pPr>
    </w:p>
    <w:p w14:paraId="56DFACA2" w14:textId="77777777" w:rsidR="006601FD" w:rsidRPr="006601FD" w:rsidRDefault="006601FD" w:rsidP="006601FD">
      <w:pPr>
        <w:spacing w:before="240"/>
        <w:rPr>
          <w:rFonts w:ascii="Calibri" w:hAnsi="Calibri" w:cs="Calibri"/>
          <w:b/>
          <w:bCs/>
          <w:i/>
          <w:iCs/>
          <w:sz w:val="22"/>
        </w:rPr>
      </w:pPr>
      <w:r w:rsidRPr="006601FD">
        <w:rPr>
          <w:rFonts w:ascii="Calibri" w:hAnsi="Calibri" w:cs="Calibri"/>
          <w:b/>
          <w:bCs/>
          <w:i/>
          <w:iCs/>
          <w:sz w:val="22"/>
        </w:rPr>
        <w:t>Problemi di passaggio generazionale (valori %)</w:t>
      </w:r>
    </w:p>
    <w:p w14:paraId="5DEEB1AB" w14:textId="77777777" w:rsidR="006601FD" w:rsidRPr="006601FD" w:rsidRDefault="006601FD" w:rsidP="006601FD">
      <w:pPr>
        <w:spacing w:before="240"/>
        <w:rPr>
          <w:rFonts w:ascii="Calibri" w:hAnsi="Calibri" w:cs="Calibri"/>
          <w:bCs/>
          <w:sz w:val="22"/>
        </w:rPr>
      </w:pPr>
      <w:r w:rsidRPr="006601FD">
        <w:rPr>
          <w:rFonts w:ascii="Calibri" w:hAnsi="Calibri" w:cs="Calibri"/>
          <w:noProof/>
          <w:sz w:val="22"/>
        </w:rPr>
        <w:drawing>
          <wp:inline distT="0" distB="0" distL="0" distR="0" wp14:anchorId="5281CC06" wp14:editId="587CE6A8">
            <wp:extent cx="4730750" cy="2159000"/>
            <wp:effectExtent l="0" t="0" r="0" b="0"/>
            <wp:docPr id="430838427" name="Grafico 430838427">
              <a:extLst xmlns:a="http://schemas.openxmlformats.org/drawingml/2006/main">
                <a:ext uri="{FF2B5EF4-FFF2-40B4-BE49-F238E27FC236}">
                  <a16:creationId xmlns:a16="http://schemas.microsoft.com/office/drawing/2014/main" id="{2162529E-6649-4120-96E8-C64195998D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922DFC3" w14:textId="77777777" w:rsidR="006601FD" w:rsidRPr="006601FD" w:rsidRDefault="006601FD" w:rsidP="006601FD">
      <w:pPr>
        <w:spacing w:before="240"/>
        <w:rPr>
          <w:rFonts w:ascii="Calibri" w:hAnsi="Calibri" w:cs="Calibri"/>
          <w:i/>
          <w:iCs/>
          <w:sz w:val="22"/>
        </w:rPr>
      </w:pPr>
      <w:r w:rsidRPr="006601FD">
        <w:rPr>
          <w:rFonts w:ascii="Calibri" w:hAnsi="Calibri" w:cs="Calibri"/>
          <w:i/>
          <w:iCs/>
          <w:sz w:val="22"/>
        </w:rPr>
        <w:t>Fonte: Indagine Centro studi Guglielmo Tagliacarne-Unioncamere 2022</w:t>
      </w:r>
    </w:p>
    <w:p w14:paraId="39EF123C" w14:textId="77777777" w:rsidR="006601FD" w:rsidRPr="006601FD" w:rsidRDefault="006601FD" w:rsidP="006601FD">
      <w:pPr>
        <w:spacing w:before="240"/>
        <w:rPr>
          <w:rFonts w:ascii="Calibri" w:hAnsi="Calibri" w:cs="Calibri"/>
          <w:sz w:val="22"/>
        </w:rPr>
      </w:pPr>
    </w:p>
    <w:p w14:paraId="63327152" w14:textId="239B4BD5" w:rsidR="00680BB1" w:rsidRDefault="00680BB1" w:rsidP="00680BB1">
      <w:pPr>
        <w:spacing w:before="240"/>
        <w:rPr>
          <w:rFonts w:ascii="Calibri" w:hAnsi="Calibri" w:cs="Calibri"/>
          <w:sz w:val="22"/>
        </w:rPr>
      </w:pPr>
    </w:p>
    <w:sectPr w:rsidR="00680BB1" w:rsidSect="0011751D">
      <w:headerReference w:type="even" r:id="rId12"/>
      <w:headerReference w:type="default" r:id="rId13"/>
      <w:footerReference w:type="even" r:id="rId14"/>
      <w:footerReference w:type="default" r:id="rId15"/>
      <w:headerReference w:type="first" r:id="rId16"/>
      <w:footerReference w:type="first" r:id="rId17"/>
      <w:pgSz w:w="11906" w:h="16838"/>
      <w:pgMar w:top="322" w:right="1559" w:bottom="812" w:left="1559" w:header="397"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4CA2F" w14:textId="77777777" w:rsidR="00516DE6" w:rsidRDefault="00516DE6">
      <w:r>
        <w:separator/>
      </w:r>
    </w:p>
  </w:endnote>
  <w:endnote w:type="continuationSeparator" w:id="0">
    <w:p w14:paraId="24C31FF1" w14:textId="77777777" w:rsidR="00516DE6" w:rsidRDefault="00516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It">
    <w:altName w:val="Calibri"/>
    <w:panose1 w:val="00000000000000000000"/>
    <w:charset w:val="00"/>
    <w:family w:val="swiss"/>
    <w:notTrueType/>
    <w:pitch w:val="default"/>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edra Sans Std Demi">
    <w:altName w:val="Arial"/>
    <w:panose1 w:val="00000000000000000000"/>
    <w:charset w:val="00"/>
    <w:family w:val="swiss"/>
    <w:notTrueType/>
    <w:pitch w:val="variable"/>
    <w:sig w:usb0="20000007" w:usb1="00000003"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26762" w14:textId="77777777" w:rsidR="00375E89" w:rsidRDefault="00375E8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73" w:type="dxa"/>
      <w:tblInd w:w="-508" w:type="dxa"/>
      <w:tblLayout w:type="fixed"/>
      <w:tblCellMar>
        <w:left w:w="113" w:type="dxa"/>
        <w:right w:w="113" w:type="dxa"/>
      </w:tblCellMar>
      <w:tblLook w:val="0000" w:firstRow="0" w:lastRow="0" w:firstColumn="0" w:lastColumn="0" w:noHBand="0" w:noVBand="0"/>
    </w:tblPr>
    <w:tblGrid>
      <w:gridCol w:w="4657"/>
      <w:gridCol w:w="5716"/>
    </w:tblGrid>
    <w:tr w:rsidR="0011751D" w:rsidRPr="0011751D" w14:paraId="332B3E6D" w14:textId="77777777" w:rsidTr="0011751D">
      <w:trPr>
        <w:trHeight w:val="868"/>
      </w:trPr>
      <w:tc>
        <w:tcPr>
          <w:tcW w:w="4657" w:type="dxa"/>
          <w:tcBorders>
            <w:right w:val="single" w:sz="4" w:space="0" w:color="808080"/>
          </w:tcBorders>
        </w:tcPr>
        <w:p w14:paraId="23067A50" w14:textId="06BD7734" w:rsidR="0011751D" w:rsidRPr="0011751D" w:rsidRDefault="0011751D" w:rsidP="0011751D">
          <w:pPr>
            <w:pStyle w:val="Pidipagina"/>
            <w:jc w:val="center"/>
            <w:rPr>
              <w:rFonts w:ascii="Calibri" w:hAnsi="Calibri" w:cs="Calibri"/>
              <w:color w:val="808080"/>
              <w:sz w:val="14"/>
              <w:szCs w:val="14"/>
            </w:rPr>
          </w:pPr>
          <w:r w:rsidRPr="0011751D">
            <w:rPr>
              <w:noProof/>
              <w:sz w:val="14"/>
              <w:szCs w:val="14"/>
            </w:rPr>
            <mc:AlternateContent>
              <mc:Choice Requires="wpg">
                <w:drawing>
                  <wp:anchor distT="0" distB="0" distL="114300" distR="114300" simplePos="0" relativeHeight="251680768" behindDoc="0" locked="0" layoutInCell="0" allowOverlap="1" wp14:anchorId="6B83B840" wp14:editId="374063EA">
                    <wp:simplePos x="0" y="0"/>
                    <wp:positionH relativeFrom="page">
                      <wp:posOffset>7070725</wp:posOffset>
                    </wp:positionH>
                    <wp:positionV relativeFrom="page">
                      <wp:posOffset>9815830</wp:posOffset>
                    </wp:positionV>
                    <wp:extent cx="488315" cy="237490"/>
                    <wp:effectExtent l="0" t="0" r="0" b="0"/>
                    <wp:wrapNone/>
                    <wp:docPr id="20" name="Gruppo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21"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529EE" w14:textId="60767783" w:rsidR="0011751D" w:rsidRDefault="0011751D" w:rsidP="0011751D">
                                  <w:pPr>
                                    <w:pStyle w:val="Intestazione"/>
                                    <w:jc w:val="center"/>
                                  </w:pPr>
                                  <w:r w:rsidRPr="00674134">
                                    <w:rPr>
                                      <w:sz w:val="22"/>
                                      <w:szCs w:val="22"/>
                                    </w:rPr>
                                    <w:fldChar w:fldCharType="begin"/>
                                  </w:r>
                                  <w:r>
                                    <w:instrText>PAGE    \* MERGEFORMAT</w:instrText>
                                  </w:r>
                                  <w:r w:rsidRPr="00674134">
                                    <w:rPr>
                                      <w:sz w:val="22"/>
                                      <w:szCs w:val="22"/>
                                    </w:rPr>
                                    <w:fldChar w:fldCharType="separate"/>
                                  </w:r>
                                  <w:r w:rsidR="00EE791E" w:rsidRPr="00EE791E">
                                    <w:rPr>
                                      <w:rStyle w:val="Numeropagina"/>
                                      <w:b/>
                                      <w:bCs/>
                                      <w:noProof/>
                                      <w:color w:val="403152"/>
                                      <w:sz w:val="16"/>
                                      <w:szCs w:val="16"/>
                                    </w:rPr>
                                    <w:t>6</w:t>
                                  </w:r>
                                  <w:r w:rsidRPr="00674134">
                                    <w:rPr>
                                      <w:rStyle w:val="Numeropagina"/>
                                      <w:b/>
                                      <w:bCs/>
                                      <w:color w:val="403152"/>
                                      <w:sz w:val="16"/>
                                      <w:szCs w:val="16"/>
                                    </w:rPr>
                                    <w:fldChar w:fldCharType="end"/>
                                  </w:r>
                                </w:p>
                              </w:txbxContent>
                            </wps:txbx>
                            <wps:bodyPr rot="0" vert="horz" wrap="square" lIns="0" tIns="0" rIns="0" bIns="0" anchor="ctr" anchorCtr="0" upright="1">
                              <a:noAutofit/>
                            </wps:bodyPr>
                          </wps:wsp>
                          <wpg:grpSp>
                            <wpg:cNvPr id="22" name="Group 72"/>
                            <wpg:cNvGrpSpPr>
                              <a:grpSpLocks/>
                            </wpg:cNvGrpSpPr>
                            <wpg:grpSpPr bwMode="auto">
                              <a:xfrm>
                                <a:off x="886" y="3255"/>
                                <a:ext cx="374" cy="374"/>
                                <a:chOff x="1453" y="14832"/>
                                <a:chExt cx="374" cy="374"/>
                              </a:xfrm>
                            </wpg:grpSpPr>
                            <wps:wsp>
                              <wps:cNvPr id="1686224458"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B83B840" id="Gruppo 20" o:spid="_x0000_s1026" style="position:absolute;left:0;text-align:left;margin-left:556.75pt;margin-top:772.9pt;width:38.45pt;height:18.7pt;z-index:251680768;mso-position-horizontal-relative:page;mso-position-vertical-relative:page"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9ywTgMAAMgKAAAOAAAAZHJzL2Uyb0RvYy54bWzUVttunDAQfa/Uf7D83rCwLEtQSJRuLqrU&#10;NpGSfoAXzEUFm9rehfTrO7aBvSRVt2maqi9o7PEMM2fmjH1y1tUVWlMhS85i7B5NMKIs4WnJ8hh/&#10;ub96F2IkFWEpqTijMX6gEp+dvn1z0jYR9XjBq5QKBE6YjNomxoVSTeQ4MiloTeQRbygDZcZFTRQs&#10;Re6kgrTgva4cbzIJnJaLtBE8oVLC7oVV4lPjP8toom6yTFKFqhhDbMp8hfku9dc5PSFRLkhTlEkf&#10;BnlGFDUpGfx0dHVBFEErUT5yVZeJ4JJn6ijhtcOzrEyoyQGycSd72VwLvmpMLnnU5s0IE0C7h9Oz&#10;3Saf19eiuWtuhY0exI88+SoBF6dt8mhbr9e5PYyW7SeeQj3JSnGTeJeJWruAlFBn8H0Y8aWdQgls&#10;+mE4dWcYJaDypnP/uMc/KaBI2ioIjzEC5dSbzWxpkuKyN54HoNOWYKh1DonsP02cfVy67tBIcoOV&#10;/DOs7grSUFMCqbG4FahMIXgXI0ZqyP9e5/aed2ju6qD03+GYxhOpDvaBEwYeaWFFjC8KwnJ6LgRv&#10;C0pSiM9YQhajqfUjtZNf4bxBLJhaxAawN3gFBuYRLxI1QqprymukhRgLYIkJkqw/SmWhHY7okjJ+&#10;VVYV7JOoYjsb4FPvmNh1uDZw1S27HoslTx8gC8Et8WBQgFBw8R2jFkgXY/ltRQTFqPrAAAnN0EEQ&#10;g7AcBMISMI1xogRGdrFQlsurRpR5Ab4t2oyfQ19mpUlGA2vj6COF9tCB9s1sxa3aekNtDf3Q3LOF&#10;3eWCZvpLcSUMg72uH2qoW32750k0UsX1Z1Nj5frh1ISolQNZ9g3H4v8DsrhBGHie78/gKrCkuVmT&#10;Cs1Nv+50PYn+Fk2eQutnII9YPSIKraqykXockOgQrqAWRtp0NrETgFdlqomkraXIl4tKIAAixqF/&#10;7i2CfqbJ7WMw/1lqiKdHxWUvK1JWVn6af79JumPX90fi+bO5BwtLvl5jCdhrBhKql6Dga4xqYNB2&#10;15m749W6LoBhAleW5mh/oQ1d507gDtHXmRbszB2u0GH29uP5gK7baZoDe+ugUf6/tNJmrPXvFngu&#10;mSdC/7TT77HttTm1eYCe/gAAAP//AwBQSwMEFAAGAAgAAAAhAJir2KfjAAAADwEAAA8AAABkcnMv&#10;ZG93bnJldi54bWxMj8FqwzAQRO+F/oPYQm+NrDguiWM5hND2FApJCqU3xdrYJpZkLMV2/r7rU3vb&#10;2R1m32Sb0TSsx87XzkoQswgY2sLp2pYSvk7vL0tgPiirVeMsSrijh03++JCpVLvBHrA/hpJRiPWp&#10;klCF0Kac+6JCo/zMtWjpdnGdUYFkV3LdqYHCTcPnUfTKjaotfahUi7sKi+vxZiR8DGrYxuKt318v&#10;u/vPKfn83guU8vlp3K6BBRzDnxkmfEKHnJjO7ma1Zw1pIeKEvDQli4RaTB6xihbAztNuGc+B5xn/&#10;3yP/BQAA//8DAFBLAQItABQABgAIAAAAIQC2gziS/gAAAOEBAAATAAAAAAAAAAAAAAAAAAAAAABb&#10;Q29udGVudF9UeXBlc10ueG1sUEsBAi0AFAAGAAgAAAAhADj9If/WAAAAlAEAAAsAAAAAAAAAAAAA&#10;AAAALwEAAF9yZWxzLy5yZWxzUEsBAi0AFAAGAAgAAAAhAAST3LBOAwAAyAoAAA4AAAAAAAAAAAAA&#10;AAAALgIAAGRycy9lMm9Eb2MueG1sUEsBAi0AFAAGAAgAAAAhAJir2KfjAAAADwEAAA8AAAAAAAAA&#10;AAAAAAAAqAUAAGRycy9kb3ducmV2LnhtbFBLBQYAAAAABAAEAPMAAAC4Bg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pL/wAAAANsAAAAPAAAAZHJzL2Rvd25yZXYueG1sRI/NCsIw&#10;EITvgu8QVvAimupBpBrFH/y5eKj6AEuztsVmU5qo1ac3guBxmJlvmNmiMaV4UO0KywqGgwgEcWp1&#10;wZmCy3nbn4BwHlljaZkUvMjBYt5uzTDW9skJPU4+EwHCLkYFufdVLKVLczLoBrYiDt7V1gZ9kHUm&#10;dY3PADelHEXRWBosOCzkWNE6p/R2uhsFtEzs+3hzO5OsNuvdtWDqyb1S3U6znILw1Ph/+Nc+aAWj&#10;IXy/hB8g5x8AAAD//wMAUEsBAi0AFAAGAAgAAAAhANvh9svuAAAAhQEAABMAAAAAAAAAAAAAAAAA&#10;AAAAAFtDb250ZW50X1R5cGVzXS54bWxQSwECLQAUAAYACAAAACEAWvQsW78AAAAVAQAACwAAAAAA&#10;AAAAAAAAAAAfAQAAX3JlbHMvLnJlbHNQSwECLQAUAAYACAAAACEAifaS/8AAAADbAAAADwAAAAAA&#10;AAAAAAAAAAAHAgAAZHJzL2Rvd25yZXYueG1sUEsFBgAAAAADAAMAtwAAAPQCAAAAAA==&#10;" filled="f" stroked="f">
                      <v:textbox inset="0,0,0,0">
                        <w:txbxContent>
                          <w:p w14:paraId="6B6529EE" w14:textId="60767783" w:rsidR="0011751D" w:rsidRDefault="0011751D" w:rsidP="0011751D">
                            <w:pPr>
                              <w:pStyle w:val="Intestazione"/>
                              <w:jc w:val="center"/>
                            </w:pPr>
                            <w:r w:rsidRPr="00674134">
                              <w:rPr>
                                <w:sz w:val="22"/>
                                <w:szCs w:val="22"/>
                              </w:rPr>
                              <w:fldChar w:fldCharType="begin"/>
                            </w:r>
                            <w:r>
                              <w:instrText>PAGE    \* MERGEFORMAT</w:instrText>
                            </w:r>
                            <w:r w:rsidRPr="00674134">
                              <w:rPr>
                                <w:sz w:val="22"/>
                                <w:szCs w:val="22"/>
                              </w:rPr>
                              <w:fldChar w:fldCharType="separate"/>
                            </w:r>
                            <w:r w:rsidR="00EE791E" w:rsidRPr="00EE791E">
                              <w:rPr>
                                <w:rStyle w:val="Numeropagina"/>
                                <w:b/>
                                <w:bCs/>
                                <w:noProof/>
                                <w:color w:val="403152"/>
                                <w:sz w:val="16"/>
                                <w:szCs w:val="16"/>
                              </w:rPr>
                              <w:t>6</w:t>
                            </w:r>
                            <w:r w:rsidRPr="00674134">
                              <w:rPr>
                                <w:rStyle w:val="Numeropagina"/>
                                <w:b/>
                                <w:bCs/>
                                <w:color w:val="403152"/>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i92ygAAAOMAAAAPAAAAZHJzL2Rvd25yZXYueG1sRI9Pa8Mw&#10;DMXvg30Ho0EvY3UW2jRkdcsYDHrZoX8OPYpYi8NiOdhum3776TDYUU/v9/S03k5+UFeKqQ9s4HVe&#10;gCJug+25M3A6fr7UoFJGtjgEJgN3SrDdPD6ssbHhxnu6HnKnJIRTgwZczmOjdWodeUzzMBLL7jtE&#10;j1nG2Gkb8SbhftBlUVTaY89yweFIH47an8PFS41zCum8ay+4OpXuuZ5i9xVXxsyepvc3UJmm/G/+&#10;o3dWuKquynKxWEpp+UkE0JtfAAAA//8DAFBLAQItABQABgAIAAAAIQDb4fbL7gAAAIUBAAATAAAA&#10;AAAAAAAAAAAAAAAAAABbQ29udGVudF9UeXBlc10ueG1sUEsBAi0AFAAGAAgAAAAhAFr0LFu/AAAA&#10;FQEAAAsAAAAAAAAAAAAAAAAAHwEAAF9yZWxzLy5yZWxzUEsBAi0AFAAGAAgAAAAhAHemL3bKAAAA&#10;4wAAAA8AAAAAAAAAAAAAAAAABwIAAGRycy9kb3ducmV2LnhtbFBLBQYAAAAAAwADALcAAAD+AgAA&#10;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lMcvwAAANsAAAAPAAAAZHJzL2Rvd25yZXYueG1sRI/BCsIw&#10;EETvgv8QVvCmqSIi1SgqKF6tevC2NmtbbDalibX+vREEj8PMvGEWq9aUoqHaFZYVjIYRCOLU6oIz&#10;BefTbjAD4TyyxtIyKXiTg9Wy21lgrO2Lj9QkPhMBwi5GBbn3VSylS3My6Ia2Ig7e3dYGfZB1JnWN&#10;rwA3pRxH0VQaLDgs5FjRNqf0kTyNgmJvR5fdJjm6azPdynV529jLTal+r13PQXhq/T/8ax+0gvEE&#10;vl/CD5DLDwAAAP//AwBQSwECLQAUAAYACAAAACEA2+H2y+4AAACFAQAAEwAAAAAAAAAAAAAAAAAA&#10;AAAAW0NvbnRlbnRfVHlwZXNdLnhtbFBLAQItABQABgAIAAAAIQBa9CxbvwAAABUBAAALAAAAAAAA&#10;AAAAAAAAAB8BAABfcmVscy8ucmVsc1BLAQItABQABgAIAAAAIQBHmlMcvwAAANsAAAAPAAAAAAAA&#10;AAAAAAAAAAcCAABkcnMvZG93bnJldi54bWxQSwUGAAAAAAMAAwC3AAAA8wIAAAAA&#10;" fillcolor="#84a2c6" stroked="f"/>
                    </v:group>
                    <w10:wrap anchorx="page" anchory="page"/>
                  </v:group>
                </w:pict>
              </mc:Fallback>
            </mc:AlternateContent>
          </w:r>
          <w:r w:rsidRPr="0011751D">
            <w:rPr>
              <w:rFonts w:ascii="Calibri" w:hAnsi="Calibri" w:cs="Calibri"/>
              <w:b/>
              <w:color w:val="808080"/>
              <w:sz w:val="14"/>
              <w:szCs w:val="14"/>
            </w:rPr>
            <w:t xml:space="preserve">Ufficio stampa Unioncamere - </w:t>
          </w:r>
          <w:r w:rsidRPr="0011751D">
            <w:rPr>
              <w:rFonts w:ascii="Calibri" w:hAnsi="Calibri" w:cs="Calibri"/>
              <w:color w:val="808080"/>
              <w:sz w:val="14"/>
              <w:szCs w:val="14"/>
            </w:rPr>
            <w:t>06.4704 350</w:t>
          </w:r>
          <w:r w:rsidR="00375E89">
            <w:rPr>
              <w:rFonts w:ascii="Calibri" w:hAnsi="Calibri" w:cs="Calibri"/>
              <w:color w:val="808080"/>
              <w:sz w:val="14"/>
              <w:szCs w:val="14"/>
            </w:rPr>
            <w:t xml:space="preserve">- 06.4704 </w:t>
          </w:r>
          <w:r w:rsidR="00375E89" w:rsidRPr="00375E89">
            <w:rPr>
              <w:rFonts w:ascii="Calibri" w:hAnsi="Calibri" w:cs="Calibri"/>
              <w:color w:val="808080"/>
              <w:sz w:val="14"/>
              <w:szCs w:val="14"/>
            </w:rPr>
            <w:t>264</w:t>
          </w:r>
        </w:p>
        <w:p w14:paraId="35996835" w14:textId="4A8F0370" w:rsidR="0011751D" w:rsidRPr="0011751D" w:rsidRDefault="00000000" w:rsidP="0011751D">
          <w:pPr>
            <w:pStyle w:val="Didascalia"/>
            <w:jc w:val="center"/>
            <w:rPr>
              <w:rFonts w:ascii="Calibri" w:hAnsi="Calibri" w:cs="Calibri"/>
              <w:i w:val="0"/>
              <w:color w:val="808080"/>
              <w:sz w:val="14"/>
              <w:szCs w:val="14"/>
            </w:rPr>
          </w:pPr>
          <w:hyperlink r:id="rId1" w:history="1">
            <w:r w:rsidR="0011751D" w:rsidRPr="0011751D">
              <w:rPr>
                <w:rStyle w:val="Collegamentoipertestuale"/>
                <w:rFonts w:ascii="Calibri" w:hAnsi="Calibri" w:cs="Calibri"/>
                <w:i w:val="0"/>
                <w:sz w:val="14"/>
                <w:szCs w:val="14"/>
              </w:rPr>
              <w:t>ufficio.stampa@unioncamere.it</w:t>
            </w:r>
          </w:hyperlink>
          <w:r w:rsidR="0011751D" w:rsidRPr="0011751D">
            <w:rPr>
              <w:rFonts w:ascii="Calibri" w:hAnsi="Calibri" w:cs="Calibri"/>
              <w:i w:val="0"/>
              <w:color w:val="808080"/>
              <w:sz w:val="14"/>
              <w:szCs w:val="14"/>
            </w:rPr>
            <w:br/>
          </w:r>
          <w:hyperlink r:id="rId2" w:history="1">
            <w:r w:rsidR="0011751D" w:rsidRPr="0011751D">
              <w:rPr>
                <w:rStyle w:val="Collegamentoipertestuale"/>
                <w:rFonts w:ascii="Calibri" w:hAnsi="Calibri" w:cs="Calibri"/>
                <w:i w:val="0"/>
                <w:sz w:val="14"/>
                <w:szCs w:val="14"/>
              </w:rPr>
              <w:t>www.unioncamere.gov.it</w:t>
            </w:r>
          </w:hyperlink>
          <w:r w:rsidR="0011751D" w:rsidRPr="0011751D">
            <w:rPr>
              <w:rStyle w:val="Collegamentoipertestuale"/>
              <w:rFonts w:ascii="Calibri" w:hAnsi="Calibri" w:cs="Calibri"/>
              <w:i w:val="0"/>
              <w:sz w:val="14"/>
              <w:szCs w:val="14"/>
            </w:rPr>
            <w:t xml:space="preserve"> - </w:t>
          </w:r>
          <w:r w:rsidR="0011751D" w:rsidRPr="0011751D">
            <w:rPr>
              <w:rFonts w:ascii="Calibri" w:hAnsi="Calibri" w:cs="Calibri"/>
              <w:i w:val="0"/>
              <w:color w:val="808080"/>
              <w:sz w:val="14"/>
              <w:szCs w:val="14"/>
            </w:rPr>
            <w:t>twitter.com/</w:t>
          </w:r>
          <w:proofErr w:type="spellStart"/>
          <w:r w:rsidR="0011751D" w:rsidRPr="0011751D">
            <w:rPr>
              <w:rFonts w:ascii="Calibri" w:hAnsi="Calibri" w:cs="Calibri"/>
              <w:i w:val="0"/>
              <w:color w:val="808080"/>
              <w:sz w:val="14"/>
              <w:szCs w:val="14"/>
            </w:rPr>
            <w:t>unioncamere</w:t>
          </w:r>
          <w:proofErr w:type="spellEnd"/>
        </w:p>
      </w:tc>
      <w:tc>
        <w:tcPr>
          <w:tcW w:w="5716" w:type="dxa"/>
          <w:tcBorders>
            <w:left w:val="single" w:sz="4" w:space="0" w:color="808080"/>
          </w:tcBorders>
        </w:tcPr>
        <w:p w14:paraId="76F511A5" w14:textId="22C2EF14" w:rsidR="0011751D" w:rsidRPr="0011751D" w:rsidRDefault="0011751D" w:rsidP="00513F62">
          <w:pPr>
            <w:pStyle w:val="Pidipagina"/>
            <w:jc w:val="center"/>
            <w:rPr>
              <w:rFonts w:ascii="Calibri" w:hAnsi="Calibri" w:cs="Calibri"/>
              <w:b/>
              <w:color w:val="808080"/>
              <w:sz w:val="14"/>
              <w:szCs w:val="14"/>
            </w:rPr>
          </w:pPr>
          <w:r w:rsidRPr="0011751D">
            <w:rPr>
              <w:rFonts w:ascii="Calibri" w:hAnsi="Calibri" w:cs="Calibri"/>
              <w:b/>
              <w:color w:val="808080"/>
              <w:sz w:val="14"/>
              <w:szCs w:val="14"/>
            </w:rPr>
            <w:t xml:space="preserve">Responsabile ufficio stampa e comunicazione Centro Studi Tagliacarne  </w:t>
          </w:r>
        </w:p>
        <w:p w14:paraId="32B2EEF0" w14:textId="52D87D8D" w:rsidR="0011751D" w:rsidRPr="0011751D" w:rsidRDefault="0011751D" w:rsidP="00513F62">
          <w:pPr>
            <w:pStyle w:val="Pidipagina"/>
            <w:jc w:val="center"/>
            <w:rPr>
              <w:rFonts w:ascii="Calibri" w:hAnsi="Calibri" w:cs="Calibri"/>
              <w:b/>
              <w:color w:val="808080"/>
              <w:sz w:val="14"/>
              <w:szCs w:val="14"/>
            </w:rPr>
          </w:pPr>
          <w:r w:rsidRPr="0011751D">
            <w:rPr>
              <w:rFonts w:ascii="Calibri" w:hAnsi="Calibri" w:cs="Calibri"/>
              <w:b/>
              <w:color w:val="808080"/>
              <w:sz w:val="14"/>
              <w:szCs w:val="14"/>
            </w:rPr>
            <w:t xml:space="preserve">Loredana Capuozzo </w:t>
          </w:r>
          <w:proofErr w:type="spellStart"/>
          <w:r w:rsidRPr="0011751D">
            <w:rPr>
              <w:rFonts w:ascii="Calibri" w:hAnsi="Calibri" w:cs="Calibri"/>
              <w:b/>
              <w:color w:val="808080"/>
              <w:sz w:val="14"/>
              <w:szCs w:val="14"/>
            </w:rPr>
            <w:t>cell</w:t>
          </w:r>
          <w:proofErr w:type="spellEnd"/>
          <w:r w:rsidRPr="0011751D">
            <w:rPr>
              <w:rFonts w:ascii="Calibri" w:hAnsi="Calibri" w:cs="Calibri"/>
              <w:b/>
              <w:color w:val="808080"/>
              <w:sz w:val="14"/>
              <w:szCs w:val="14"/>
            </w:rPr>
            <w:t xml:space="preserve">. 331.6098963, loredana.capuozzo@tagliacarne.it </w:t>
          </w:r>
        </w:p>
        <w:p w14:paraId="15853ABE" w14:textId="77777777" w:rsidR="0011751D" w:rsidRPr="0011751D" w:rsidRDefault="00000000" w:rsidP="0011671A">
          <w:pPr>
            <w:pStyle w:val="Pidipagina"/>
            <w:jc w:val="center"/>
            <w:rPr>
              <w:rFonts w:ascii="Calibri" w:hAnsi="Calibri" w:cs="Calibri"/>
              <w:color w:val="808080"/>
              <w:sz w:val="14"/>
              <w:szCs w:val="14"/>
            </w:rPr>
          </w:pPr>
          <w:hyperlink r:id="rId3" w:history="1">
            <w:r w:rsidR="0011751D" w:rsidRPr="0011751D">
              <w:rPr>
                <w:rStyle w:val="Collegamentoipertestuale"/>
                <w:rFonts w:ascii="Calibri" w:hAnsi="Calibri" w:cs="Calibri"/>
                <w:sz w:val="14"/>
                <w:szCs w:val="14"/>
              </w:rPr>
              <w:t>www.tagliacarne.it</w:t>
            </w:r>
          </w:hyperlink>
          <w:r w:rsidR="0011751D" w:rsidRPr="0011751D">
            <w:rPr>
              <w:rStyle w:val="Collegamentoipertestuale"/>
              <w:rFonts w:ascii="Calibri" w:hAnsi="Calibri" w:cs="Calibri"/>
              <w:sz w:val="14"/>
              <w:szCs w:val="14"/>
            </w:rPr>
            <w:t xml:space="preserve"> </w:t>
          </w:r>
          <w:r w:rsidR="0011751D" w:rsidRPr="0011751D">
            <w:rPr>
              <w:rFonts w:ascii="Calibri" w:hAnsi="Calibri" w:cs="Calibri"/>
              <w:color w:val="808080"/>
              <w:sz w:val="14"/>
              <w:szCs w:val="14"/>
            </w:rPr>
            <w:t xml:space="preserve">twitter.com/ </w:t>
          </w:r>
          <w:proofErr w:type="spellStart"/>
          <w:r w:rsidR="0011751D" w:rsidRPr="0011751D">
            <w:rPr>
              <w:rFonts w:ascii="Calibri" w:hAnsi="Calibri" w:cs="Calibri"/>
              <w:color w:val="808080"/>
              <w:sz w:val="14"/>
              <w:szCs w:val="14"/>
            </w:rPr>
            <w:t>IstTagliacarne</w:t>
          </w:r>
          <w:proofErr w:type="spellEnd"/>
        </w:p>
      </w:tc>
    </w:tr>
  </w:tbl>
  <w:p w14:paraId="1D06A64E" w14:textId="7F072759" w:rsidR="0011751D" w:rsidRPr="0011751D" w:rsidRDefault="0011751D" w:rsidP="00513F62">
    <w:pPr>
      <w:pStyle w:val="Pidipagina"/>
      <w:rPr>
        <w:sz w:val="14"/>
        <w:szCs w:val="14"/>
      </w:rPr>
    </w:pPr>
    <w:r w:rsidRPr="0011751D">
      <w:rPr>
        <w:rFonts w:asciiTheme="majorHAnsi" w:eastAsiaTheme="majorEastAsia" w:hAnsiTheme="majorHAnsi" w:cstheme="majorBidi"/>
        <w:noProof/>
        <w:sz w:val="14"/>
        <w:szCs w:val="14"/>
      </w:rPr>
      <mc:AlternateContent>
        <mc:Choice Requires="wps">
          <w:drawing>
            <wp:anchor distT="0" distB="0" distL="114300" distR="114300" simplePos="0" relativeHeight="251678720" behindDoc="0" locked="0" layoutInCell="0" allowOverlap="1" wp14:anchorId="2FCD7197" wp14:editId="50533D73">
              <wp:simplePos x="0" y="0"/>
              <wp:positionH relativeFrom="rightMargin">
                <wp:posOffset>409575</wp:posOffset>
              </wp:positionH>
              <wp:positionV relativeFrom="page">
                <wp:posOffset>9364980</wp:posOffset>
              </wp:positionV>
              <wp:extent cx="335280" cy="363220"/>
              <wp:effectExtent l="0" t="0" r="0" b="0"/>
              <wp:wrapNone/>
              <wp:docPr id="17" name="Ova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 cy="363220"/>
                      </a:xfrm>
                      <a:prstGeom prst="ellipse">
                        <a:avLst/>
                      </a:prstGeom>
                      <a:solidFill>
                        <a:schemeClr val="accent1"/>
                      </a:solidFill>
                      <a:ln>
                        <a:noFill/>
                      </a:ln>
                    </wps:spPr>
                    <wps:txbx>
                      <w:txbxContent>
                        <w:p w14:paraId="07D5B4E1" w14:textId="440D4B81" w:rsidR="0011751D" w:rsidRDefault="0011751D">
                          <w:pPr>
                            <w:rPr>
                              <w:rStyle w:val="Numeropagina"/>
                              <w:color w:val="FFFFFF" w:themeColor="background1"/>
                              <w:szCs w:val="24"/>
                            </w:rPr>
                          </w:pPr>
                          <w:r>
                            <w:rPr>
                              <w:sz w:val="22"/>
                              <w:szCs w:val="22"/>
                            </w:rPr>
                            <w:fldChar w:fldCharType="begin"/>
                          </w:r>
                          <w:r>
                            <w:instrText>PAGE    \* MERGEFORMAT</w:instrText>
                          </w:r>
                          <w:r>
                            <w:rPr>
                              <w:sz w:val="22"/>
                              <w:szCs w:val="22"/>
                            </w:rPr>
                            <w:fldChar w:fldCharType="separate"/>
                          </w:r>
                          <w:r w:rsidR="00EE791E" w:rsidRPr="00EE791E">
                            <w:rPr>
                              <w:rStyle w:val="Numeropagina"/>
                              <w:b/>
                              <w:bCs/>
                              <w:noProof/>
                              <w:color w:val="FFFFFF" w:themeColor="background1"/>
                              <w:szCs w:val="24"/>
                            </w:rPr>
                            <w:t>6</w:t>
                          </w:r>
                          <w:r>
                            <w:rPr>
                              <w:rStyle w:val="Numeropagina"/>
                              <w:b/>
                              <w:bCs/>
                              <w:color w:val="FFFFFF" w:themeColor="background1"/>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CD7197" id="Ovale 17" o:spid="_x0000_s1031" style="position:absolute;left:0;text-align:left;margin-left:32.25pt;margin-top:737.4pt;width:26.4pt;height:28.6pt;z-index:25167872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KBH8QEAAMQDAAAOAAAAZHJzL2Uyb0RvYy54bWysU9tu2zAMfR+wfxD0vjiXtSuMOEWRosOA&#10;bivQ9QMYWY6FyaJGKbGzrx8lJ2mwvg17EUiKOuI5OlreDp0Ve03BoKvkbDKVQjuFtXHbSr78ePhw&#10;I0WI4Gqw6HQlDzrI29X7d8vel3qOLdpak2AQF8reV7KN0ZdFEVSrOwgT9NrxZoPUQeSUtkVN0DN6&#10;Z4v5dHpd9Ei1J1Q6BK7ej5tylfGbRqv4vWmCjsJWkmeLeaW8btJarJZQbgl8a9RxDPiHKTowji89&#10;Q91DBLEj8waqM4owYBMnCrsCm8YonTkwm9n0LzbPLXidubA4wZ9lCv8PVn3bP/snSqMH/4jqZxAO&#10;1y24rb4jwr7VUPN1syRU0ftQng+kJPBRsem/Ys1PC7uIWYOhoS4BMjsxZKkPZ6n1EIXi4mJxNb/h&#10;B1G8tbhezOf5KQooT4c9hfhZYydSUEltrfEhiQEl7B9DTPNAeerK86M19YOxNifJQHptSeyBnx6U&#10;0i6OLJjpZad1qd9hOjmCpkrmmuglJ4UyDptBmPooRKpssD4wecLRUvwFOGiRfkvRs50qGX7tgLQU&#10;9otjAZP3cvDx6hNzFXSqbi6r4BRDVDJKMYbrOHp158lsW75hlhVweMdiNyar8DrNcWy2ShbnaOvk&#10;xcs8d71+vtUfAAAA//8DAFBLAwQUAAYACAAAACEAx+TAmeAAAAAMAQAADwAAAGRycy9kb3ducmV2&#10;LnhtbEyPQU+DQBCF7yb+h82YeLNDKYUGWRpj9OLBaO3F2wIjoOwsYbct/fdOT3qbmffy5nvFdraD&#10;OtLke8calosIFHHtmp5bDfuP57sNKB8MN2ZwTBrO5GFbXl8VJm/cid/puAutkhD2udHQhTDmiL7u&#10;yBq/cCOxaF9usibIOrXYTOYk4XbAOIpStKZn+dCZkR47qn92B6uB0bnXz/S7JcSX8e38VG32cab1&#10;7c38cA8q0Bz+zHDBF3QohalyB268GjSkyVqcck+yRDpcHMtsBaqSYb2KI8CywP8lyl8AAAD//wMA&#10;UEsBAi0AFAAGAAgAAAAhALaDOJL+AAAA4QEAABMAAAAAAAAAAAAAAAAAAAAAAFtDb250ZW50X1R5&#10;cGVzXS54bWxQSwECLQAUAAYACAAAACEAOP0h/9YAAACUAQAACwAAAAAAAAAAAAAAAAAvAQAAX3Jl&#10;bHMvLnJlbHNQSwECLQAUAAYACAAAACEAV9CgR/EBAADEAwAADgAAAAAAAAAAAAAAAAAuAgAAZHJz&#10;L2Uyb0RvYy54bWxQSwECLQAUAAYACAAAACEAx+TAmeAAAAAMAQAADwAAAAAAAAAAAAAAAABLBAAA&#10;ZHJzL2Rvd25yZXYueG1sUEsFBgAAAAAEAAQA8wAAAFgFAAAAAA==&#10;" o:allowincell="f" fillcolor="#5b9bd5 [3204]" stroked="f">
              <v:textbox inset="0,,0">
                <w:txbxContent>
                  <w:p w14:paraId="07D5B4E1" w14:textId="440D4B81" w:rsidR="0011751D" w:rsidRDefault="0011751D">
                    <w:pPr>
                      <w:rPr>
                        <w:rStyle w:val="Numeropagina"/>
                        <w:color w:val="FFFFFF" w:themeColor="background1"/>
                        <w:szCs w:val="24"/>
                      </w:rPr>
                    </w:pPr>
                    <w:r>
                      <w:rPr>
                        <w:sz w:val="22"/>
                        <w:szCs w:val="22"/>
                      </w:rPr>
                      <w:fldChar w:fldCharType="begin"/>
                    </w:r>
                    <w:r>
                      <w:instrText>PAGE    \* MERGEFORMAT</w:instrText>
                    </w:r>
                    <w:r>
                      <w:rPr>
                        <w:sz w:val="22"/>
                        <w:szCs w:val="22"/>
                      </w:rPr>
                      <w:fldChar w:fldCharType="separate"/>
                    </w:r>
                    <w:r w:rsidR="00EE791E" w:rsidRPr="00EE791E">
                      <w:rPr>
                        <w:rStyle w:val="Numeropagina"/>
                        <w:b/>
                        <w:bCs/>
                        <w:noProof/>
                        <w:color w:val="FFFFFF" w:themeColor="background1"/>
                        <w:szCs w:val="24"/>
                      </w:rPr>
                      <w:t>6</w:t>
                    </w:r>
                    <w:r>
                      <w:rPr>
                        <w:rStyle w:val="Numeropagina"/>
                        <w:b/>
                        <w:bCs/>
                        <w:color w:val="FFFFFF" w:themeColor="background1"/>
                        <w:szCs w:val="24"/>
                      </w:rPr>
                      <w:fldChar w:fldCharType="end"/>
                    </w:r>
                  </w:p>
                </w:txbxContent>
              </v:textbox>
              <w10:wrap anchorx="margin" anchory="page"/>
            </v:oval>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57" w:type="dxa"/>
      <w:tblInd w:w="-1276" w:type="dxa"/>
      <w:tblLayout w:type="fixed"/>
      <w:tblCellMar>
        <w:left w:w="113" w:type="dxa"/>
        <w:right w:w="113" w:type="dxa"/>
      </w:tblCellMar>
      <w:tblLook w:val="0000" w:firstRow="0" w:lastRow="0" w:firstColumn="0" w:lastColumn="0" w:noHBand="0" w:noVBand="0"/>
    </w:tblPr>
    <w:tblGrid>
      <w:gridCol w:w="5387"/>
      <w:gridCol w:w="5670"/>
    </w:tblGrid>
    <w:tr w:rsidR="0011751D" w:rsidRPr="0011751D" w14:paraId="469EB273" w14:textId="77777777" w:rsidTr="0011751D">
      <w:trPr>
        <w:trHeight w:val="1227"/>
      </w:trPr>
      <w:tc>
        <w:tcPr>
          <w:tcW w:w="5387" w:type="dxa"/>
          <w:tcBorders>
            <w:right w:val="single" w:sz="4" w:space="0" w:color="808080"/>
          </w:tcBorders>
        </w:tcPr>
        <w:p w14:paraId="30E48E99" w14:textId="0027395F" w:rsidR="0011751D" w:rsidRPr="0011751D" w:rsidRDefault="0011751D" w:rsidP="008E0687">
          <w:pPr>
            <w:pStyle w:val="Pidipagina"/>
            <w:jc w:val="center"/>
            <w:rPr>
              <w:rFonts w:ascii="Calibri" w:hAnsi="Calibri" w:cs="Calibri"/>
              <w:color w:val="808080"/>
              <w:sz w:val="15"/>
              <w:szCs w:val="18"/>
            </w:rPr>
          </w:pPr>
          <w:r w:rsidRPr="0011751D">
            <w:rPr>
              <w:noProof/>
              <w:sz w:val="21"/>
            </w:rPr>
            <mc:AlternateContent>
              <mc:Choice Requires="wpg">
                <w:drawing>
                  <wp:anchor distT="0" distB="0" distL="114300" distR="114300" simplePos="0" relativeHeight="251672576" behindDoc="0" locked="0" layoutInCell="0" allowOverlap="1" wp14:anchorId="551DFE41" wp14:editId="4E4190B8">
                    <wp:simplePos x="0" y="0"/>
                    <wp:positionH relativeFrom="page">
                      <wp:posOffset>7070725</wp:posOffset>
                    </wp:positionH>
                    <wp:positionV relativeFrom="page">
                      <wp:posOffset>9815830</wp:posOffset>
                    </wp:positionV>
                    <wp:extent cx="488315" cy="237490"/>
                    <wp:effectExtent l="0" t="0" r="0" b="0"/>
                    <wp:wrapNone/>
                    <wp:docPr id="3" name="Grup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4"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94D1F" w14:textId="628477F8" w:rsidR="0011751D" w:rsidRDefault="0011751D" w:rsidP="008E0687">
                                  <w:pPr>
                                    <w:pStyle w:val="Intestazione"/>
                                    <w:jc w:val="center"/>
                                  </w:pPr>
                                  <w:r w:rsidRPr="00674134">
                                    <w:rPr>
                                      <w:sz w:val="22"/>
                                      <w:szCs w:val="22"/>
                                    </w:rPr>
                                    <w:fldChar w:fldCharType="begin"/>
                                  </w:r>
                                  <w:r>
                                    <w:instrText>PAGE    \* MERGEFORMAT</w:instrText>
                                  </w:r>
                                  <w:r w:rsidRPr="00674134">
                                    <w:rPr>
                                      <w:sz w:val="22"/>
                                      <w:szCs w:val="22"/>
                                    </w:rPr>
                                    <w:fldChar w:fldCharType="separate"/>
                                  </w:r>
                                  <w:r w:rsidR="00EE791E" w:rsidRPr="00EE791E">
                                    <w:rPr>
                                      <w:rStyle w:val="Numeropagina"/>
                                      <w:b/>
                                      <w:bCs/>
                                      <w:noProof/>
                                      <w:color w:val="403152"/>
                                      <w:sz w:val="16"/>
                                      <w:szCs w:val="16"/>
                                    </w:rPr>
                                    <w:t>1</w:t>
                                  </w:r>
                                  <w:r w:rsidRPr="00674134">
                                    <w:rPr>
                                      <w:rStyle w:val="Numeropagina"/>
                                      <w:b/>
                                      <w:bCs/>
                                      <w:color w:val="403152"/>
                                      <w:sz w:val="16"/>
                                      <w:szCs w:val="16"/>
                                    </w:rPr>
                                    <w:fldChar w:fldCharType="end"/>
                                  </w:r>
                                </w:p>
                              </w:txbxContent>
                            </wps:txbx>
                            <wps:bodyPr rot="0" vert="horz" wrap="square" lIns="0" tIns="0" rIns="0" bIns="0" anchor="ctr" anchorCtr="0" upright="1">
                              <a:noAutofit/>
                            </wps:bodyPr>
                          </wps:wsp>
                          <wpg:grpSp>
                            <wpg:cNvPr id="6" name="Group 72"/>
                            <wpg:cNvGrpSpPr>
                              <a:grpSpLocks/>
                            </wpg:cNvGrpSpPr>
                            <wpg:grpSpPr bwMode="auto">
                              <a:xfrm>
                                <a:off x="886" y="3255"/>
                                <a:ext cx="374" cy="374"/>
                                <a:chOff x="1453" y="14832"/>
                                <a:chExt cx="374" cy="374"/>
                              </a:xfrm>
                            </wpg:grpSpPr>
                            <wps:wsp>
                              <wps:cNvPr id="14"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51DFE41" id="Gruppo 3" o:spid="_x0000_s1032" style="position:absolute;left:0;text-align:left;margin-left:556.75pt;margin-top:772.9pt;width:38.45pt;height:18.7pt;z-index:251672576;mso-position-horizontal-relative:page;mso-position-vertical-relative:page"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i4xQwMAAMUKAAAOAAAAZHJzL2Uyb0RvYy54bWzUVm1vmzAQ/j5p/8Hy95VACKGopOrSF03a&#10;1krtfoAD5kUDm9lOoPv1O9tAkrbTsq7rtC/o7POd75675/DJaVdXaEOFLDmLsXs0wYiyhKcly2P8&#10;5e7yXYiRVISlpOKMxvieSny6ePvmpG0i6vGCVykVCJwwGbVNjAulmshxZFLQmsgj3lAGyoyLmihY&#10;itxJBWnBe1053mQSOC0XaSN4QqWE3XOrxAvjP8tooq6zTFKFqhhDbMp8hfmu9NdZnJAoF6QpyqQP&#10;gzwjipqUDC4dXZ0TRdBalI9c1WUiuOSZOkp47fAsKxNqcoBs3MmDbK4EXzcmlzxq82aECaB9gNOz&#10;3SafN1eiuW1uhI0exI88+SoBF6dt8mhXr9e5PYxW7SeeQj3JWnGTeJeJWruAlFBn8L0f8aWdQgls&#10;+mE4dWcYJaDypnP/uMc/KaBI2ioIjzEC5dSbzWxpkuKiN54HoNOWYKh1DonsnSbOPi5dd2gkucVK&#10;/hlWtwVpqCmB1FjcCFSmkAhGjNSQ/p1O7T3v0NzVMenL4ZSGE6kO9oESBh1pUUWMLwvCcnomBG8L&#10;SlIIz1hCEqOp9SO1k1/BvAUsmFrABqy3cAUG5REuEjVCqivKa6SFGAsgiQmSbD5KZZEdjuiKMn5Z&#10;VhXsk6hiexvgU++Y2HW4NnDVrTqDkjdAsuLpPSQjuKUfjAsQCi6+Y9QC9WIsv62JoBhVHxgAonk6&#10;CGIQVoNAWAKmMU6UwMgulsoyet2IMi/AtwWd8TPozqw0OWl8bRx9wNAkOt6+pa24rXAwVNhwEM37&#10;XPYJoen+UoQJQ7hyr/WHSup+3218Eo18cf3Z1Fi5fjg1IWrlwJiHhmML/APGuCNlrjekQnPTrXs9&#10;T6K/RZKnUPoZuCNGj2hCq6pspJ4FJDqEKaiFeTadTSz/eVWmmkbaWop8tawEAiBiHPpn3jLoB5rc&#10;PQbDn6WGdnpQXPSyImVl5afZ95tcO3Z9f+SbP5t7sLCc6zWWd71m4J56Cea9wpx2RxrbrjM/jlfr&#10;usAbudn/zYaucyeupbQW7MQd/p/D5O2H8wFdt9c0B/bWQYP8f2ml7TjrHy3wVjLvg/5dpx9ju2tz&#10;avv6XPwAAAD//wMAUEsDBBQABgAIAAAAIQCYq9in4wAAAA8BAAAPAAAAZHJzL2Rvd25yZXYueG1s&#10;TI/BasMwEETvhf6D2EJvjaw4LoljOYTQ9hQKSQqlN8Xa2CaWZCzFdv6+61N729kdZt9km9E0rMfO&#10;185KELMIGNrC6dqWEr5O7y9LYD4oq1XjLEq4o4dN/viQqVS7wR6wP4aSUYj1qZJQhdCmnPuiQqP8&#10;zLVo6XZxnVGBZFdy3amBwk3D51H0yo2qLX2oVIu7Covr8WYkfAxq2Mbird9fL7v7zyn5/N4LlPL5&#10;adyugQUcw58ZJnxCh5yYzu5mtWcNaSHihLw0JYuEWkwesYoWwM7TbhnPgecZ/98j/wUAAP//AwBQ&#10;SwECLQAUAAYACAAAACEAtoM4kv4AAADhAQAAEwAAAAAAAAAAAAAAAAAAAAAAW0NvbnRlbnRfVHlw&#10;ZXNdLnhtbFBLAQItABQABgAIAAAAIQA4/SH/1gAAAJQBAAALAAAAAAAAAAAAAAAAAC8BAABfcmVs&#10;cy8ucmVsc1BLAQItABQABgAIAAAAIQAfri4xQwMAAMUKAAAOAAAAAAAAAAAAAAAAAC4CAABkcnMv&#10;ZTJvRG9jLnhtbFBLAQItABQABgAIAAAAIQCYq9in4wAAAA8BAAAPAAAAAAAAAAAAAAAAAJ0FAABk&#10;cnMvZG93bnJldi54bWxQSwUGAAAAAAQABADzAAAArQYAAAAA&#10;" o:allowincell="f">
                    <v:shapetype id="_x0000_t202" coordsize="21600,21600" o:spt="202" path="m,l,21600r21600,l21600,xe">
                      <v:stroke joinstyle="miter"/>
                      <v:path gradientshapeok="t" o:connecttype="rect"/>
                    </v:shapetype>
                    <v:shape id="Text Box 71" o:spid="_x0000_s1033"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UOAwwAAANoAAAAPAAAAZHJzL2Rvd25yZXYueG1sRI/dasJA&#10;FITvC77DcoTeFLNRpEjMKv6g9qYXUR/gkD0mwezZkF2TtE/fLQheDjPzDZOuB1OLjlpXWVYwjWIQ&#10;xLnVFRcKrpfDZAHCeWSNtWVS8EMO1qvRW4qJtj1n1J19IQKEXYIKSu+bREqXl2TQRbYhDt7NtgZ9&#10;kG0hdYt9gJtazuL4UxqsOCyU2NCupPx+fhgFtMns7/fdHU223e+Ot4rpQ56Ueh8PmyUIT4N/hZ/t&#10;L61gDv9Xwg2Qqz8AAAD//wMAUEsBAi0AFAAGAAgAAAAhANvh9svuAAAAhQEAABMAAAAAAAAAAAAA&#10;AAAAAAAAAFtDb250ZW50X1R5cGVzXS54bWxQSwECLQAUAAYACAAAACEAWvQsW78AAAAVAQAACwAA&#10;AAAAAAAAAAAAAAAfAQAAX3JlbHMvLnJlbHNQSwECLQAUAAYACAAAACEAr/FDgMMAAADaAAAADwAA&#10;AAAAAAAAAAAAAAAHAgAAZHJzL2Rvd25yZXYueG1sUEsFBgAAAAADAAMAtwAAAPcCAAAAAA==&#10;" filled="f" stroked="f">
                      <v:textbox inset="0,0,0,0">
                        <w:txbxContent>
                          <w:p w14:paraId="17994D1F" w14:textId="628477F8" w:rsidR="0011751D" w:rsidRDefault="0011751D" w:rsidP="008E0687">
                            <w:pPr>
                              <w:pStyle w:val="Intestazione"/>
                              <w:jc w:val="center"/>
                            </w:pPr>
                            <w:r w:rsidRPr="00674134">
                              <w:rPr>
                                <w:sz w:val="22"/>
                                <w:szCs w:val="22"/>
                              </w:rPr>
                              <w:fldChar w:fldCharType="begin"/>
                            </w:r>
                            <w:r>
                              <w:instrText>PAGE    \* MERGEFORMAT</w:instrText>
                            </w:r>
                            <w:r w:rsidRPr="00674134">
                              <w:rPr>
                                <w:sz w:val="22"/>
                                <w:szCs w:val="22"/>
                              </w:rPr>
                              <w:fldChar w:fldCharType="separate"/>
                            </w:r>
                            <w:r w:rsidR="00EE791E" w:rsidRPr="00EE791E">
                              <w:rPr>
                                <w:rStyle w:val="Numeropagina"/>
                                <w:b/>
                                <w:bCs/>
                                <w:noProof/>
                                <w:color w:val="403152"/>
                                <w:sz w:val="16"/>
                                <w:szCs w:val="16"/>
                              </w:rPr>
                              <w:t>1</w:t>
                            </w:r>
                            <w:r w:rsidRPr="00674134">
                              <w:rPr>
                                <w:rStyle w:val="Numeropagina"/>
                                <w:b/>
                                <w:bCs/>
                                <w:color w:val="403152"/>
                                <w:sz w:val="16"/>
                                <w:szCs w:val="16"/>
                              </w:rPr>
                              <w:fldChar w:fldCharType="end"/>
                            </w:r>
                          </w:p>
                        </w:txbxContent>
                      </v:textbox>
                    </v:shape>
                    <v:group id="Group 72" o:spid="_x0000_s1034"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oval id="Oval 73" o:spid="_x0000_s1035"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yZ9wQAAANsAAAAPAAAAZHJzL2Rvd25yZXYueG1sRI9Bi8Iw&#10;EIXvgv8hjOBFNF2RVWqjyILgxYOuB49DMzbFZlKSWOu/N8LC3mZ473vzptj2thEd+VA7VvA1y0AQ&#10;l07XXCm4/O6nKxAhImtsHJOCFwXYboaDAnPtnnyi7hwrkUI45KjAxNjmUobSkMUwcy1x0m7OW4xp&#10;9ZXUHp8p3DZynmXf0mLN6YLBln4Mlffzw6Ya1+DC9VA+cHmZm8mq99XRL5Uaj/rdGkSkPv6b/+iD&#10;TtwCPr+kAeTmDQAA//8DAFBLAQItABQABgAIAAAAIQDb4fbL7gAAAIUBAAATAAAAAAAAAAAAAAAA&#10;AAAAAABbQ29udGVudF9UeXBlc10ueG1sUEsBAi0AFAAGAAgAAAAhAFr0LFu/AAAAFQEAAAsAAAAA&#10;AAAAAAAAAAAAHwEAAF9yZWxzLy5yZWxzUEsBAi0AFAAGAAgAAAAhAKs3Jn3BAAAA2wAAAA8AAAAA&#10;AAAAAAAAAAAABwIAAGRycy9kb3ducmV2LnhtbFBLBQYAAAAAAwADALcAAAD1AgAAAAA=&#10;" filled="f" strokecolor="#84a2c6" strokeweight=".5pt"/>
                      <v:oval id="Oval 74" o:spid="_x0000_s1036"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KJNvAAAANsAAAAPAAAAZHJzL2Rvd25yZXYueG1sRE+9CsIw&#10;EN4F3yGc4KapDkWqUVRQXK06uJ3N2RabS2lirW9vBMHtPr7fW6w6U4mWGldaVjAZRyCIM6tLzhWc&#10;T7vRDITzyBory6TgTQ5Wy35vgYm2Lz5Sm/pchBB2CSoovK8TKV1WkEE3tjVx4O62MegDbHKpG3yF&#10;cFPJaRTF0mDJoaHAmrYFZY/0aRSUezu57Dbp0V3beCvX1W1jLzelhoNuPQfhqfN/8c990GF+DN9f&#10;wgFy+QEAAP//AwBQSwECLQAUAAYACAAAACEA2+H2y+4AAACFAQAAEwAAAAAAAAAAAAAAAAAAAAAA&#10;W0NvbnRlbnRfVHlwZXNdLnhtbFBLAQItABQABgAIAAAAIQBa9CxbvwAAABUBAAALAAAAAAAAAAAA&#10;AAAAAB8BAABfcmVscy8ucmVsc1BLAQItABQABgAIAAAAIQAWaKJNvAAAANsAAAAPAAAAAAAAAAAA&#10;AAAAAAcCAABkcnMvZG93bnJldi54bWxQSwUGAAAAAAMAAwC3AAAA8AIAAAAA&#10;" fillcolor="#84a2c6" stroked="f"/>
                    </v:group>
                    <w10:wrap anchorx="page" anchory="page"/>
                  </v:group>
                </w:pict>
              </mc:Fallback>
            </mc:AlternateContent>
          </w:r>
          <w:r w:rsidRPr="0011751D">
            <w:rPr>
              <w:rFonts w:ascii="Calibri" w:hAnsi="Calibri" w:cs="Calibri"/>
              <w:b/>
              <w:color w:val="808080"/>
              <w:sz w:val="15"/>
              <w:szCs w:val="18"/>
            </w:rPr>
            <w:t xml:space="preserve">Ufficio stampa Unioncamere - </w:t>
          </w:r>
          <w:r w:rsidRPr="0011751D">
            <w:rPr>
              <w:rFonts w:ascii="Calibri" w:hAnsi="Calibri" w:cs="Calibri"/>
              <w:color w:val="808080"/>
              <w:sz w:val="15"/>
              <w:szCs w:val="18"/>
            </w:rPr>
            <w:t>06.4704 350</w:t>
          </w:r>
          <w:r w:rsidR="00F06853">
            <w:rPr>
              <w:rFonts w:ascii="Calibri" w:hAnsi="Calibri" w:cs="Calibri"/>
              <w:color w:val="808080"/>
              <w:sz w:val="15"/>
              <w:szCs w:val="18"/>
            </w:rPr>
            <w:t xml:space="preserve"> -</w:t>
          </w:r>
          <w:r w:rsidR="00F06853">
            <w:rPr>
              <w:rFonts w:ascii="Calibri" w:hAnsi="Calibri" w:cs="Calibri"/>
              <w:color w:val="808080"/>
              <w:sz w:val="14"/>
              <w:szCs w:val="14"/>
            </w:rPr>
            <w:t xml:space="preserve">- 06.4704 </w:t>
          </w:r>
          <w:r w:rsidR="00F06853" w:rsidRPr="00375E89">
            <w:rPr>
              <w:rFonts w:ascii="Calibri" w:hAnsi="Calibri" w:cs="Calibri"/>
              <w:color w:val="808080"/>
              <w:sz w:val="14"/>
              <w:szCs w:val="14"/>
            </w:rPr>
            <w:t>264</w:t>
          </w:r>
        </w:p>
        <w:p w14:paraId="59B620FB" w14:textId="3F3C8122" w:rsidR="0011751D" w:rsidRPr="0011751D" w:rsidRDefault="00000000" w:rsidP="0011751D">
          <w:pPr>
            <w:pStyle w:val="Didascalia"/>
            <w:jc w:val="center"/>
            <w:rPr>
              <w:rFonts w:ascii="Calibri" w:hAnsi="Calibri" w:cs="Calibri"/>
              <w:i w:val="0"/>
              <w:color w:val="808080"/>
              <w:sz w:val="15"/>
              <w:szCs w:val="18"/>
            </w:rPr>
          </w:pPr>
          <w:hyperlink r:id="rId1" w:history="1">
            <w:r w:rsidR="0011751D" w:rsidRPr="0011751D">
              <w:rPr>
                <w:rStyle w:val="Collegamentoipertestuale"/>
                <w:rFonts w:ascii="Calibri" w:hAnsi="Calibri" w:cs="Calibri"/>
                <w:i w:val="0"/>
                <w:sz w:val="15"/>
                <w:szCs w:val="18"/>
              </w:rPr>
              <w:t>ufficio.stampa@unioncamere.it</w:t>
            </w:r>
          </w:hyperlink>
          <w:r w:rsidR="0011751D" w:rsidRPr="0011751D">
            <w:rPr>
              <w:rFonts w:ascii="Calibri" w:hAnsi="Calibri" w:cs="Calibri"/>
              <w:i w:val="0"/>
              <w:color w:val="808080"/>
              <w:sz w:val="15"/>
              <w:szCs w:val="18"/>
            </w:rPr>
            <w:br/>
          </w:r>
          <w:hyperlink r:id="rId2" w:history="1">
            <w:r w:rsidR="0011751D" w:rsidRPr="0011751D">
              <w:rPr>
                <w:rStyle w:val="Collegamentoipertestuale"/>
                <w:rFonts w:ascii="Calibri" w:hAnsi="Calibri" w:cs="Calibri"/>
                <w:i w:val="0"/>
                <w:sz w:val="15"/>
                <w:szCs w:val="18"/>
              </w:rPr>
              <w:t>www.unioncamere.gov.it</w:t>
            </w:r>
          </w:hyperlink>
          <w:r w:rsidR="0011751D" w:rsidRPr="0011751D">
            <w:rPr>
              <w:rStyle w:val="Collegamentoipertestuale"/>
              <w:rFonts w:ascii="Calibri" w:hAnsi="Calibri" w:cs="Calibri"/>
              <w:i w:val="0"/>
              <w:sz w:val="15"/>
              <w:szCs w:val="18"/>
            </w:rPr>
            <w:t xml:space="preserve"> - </w:t>
          </w:r>
          <w:r w:rsidR="0011751D" w:rsidRPr="0011751D">
            <w:rPr>
              <w:rFonts w:ascii="Calibri" w:hAnsi="Calibri" w:cs="Calibri"/>
              <w:i w:val="0"/>
              <w:color w:val="808080"/>
              <w:sz w:val="15"/>
              <w:szCs w:val="18"/>
            </w:rPr>
            <w:t>twitter.com/</w:t>
          </w:r>
          <w:proofErr w:type="spellStart"/>
          <w:r w:rsidR="0011751D" w:rsidRPr="0011751D">
            <w:rPr>
              <w:rFonts w:ascii="Calibri" w:hAnsi="Calibri" w:cs="Calibri"/>
              <w:i w:val="0"/>
              <w:color w:val="808080"/>
              <w:sz w:val="15"/>
              <w:szCs w:val="18"/>
            </w:rPr>
            <w:t>unioncamere</w:t>
          </w:r>
          <w:proofErr w:type="spellEnd"/>
        </w:p>
      </w:tc>
      <w:tc>
        <w:tcPr>
          <w:tcW w:w="5670" w:type="dxa"/>
          <w:tcBorders>
            <w:left w:val="single" w:sz="4" w:space="0" w:color="808080"/>
          </w:tcBorders>
        </w:tcPr>
        <w:p w14:paraId="42FC0CB3" w14:textId="54297A30" w:rsidR="0011751D" w:rsidRPr="0011751D" w:rsidRDefault="0011751D" w:rsidP="008E0687">
          <w:pPr>
            <w:pStyle w:val="Pidipagina"/>
            <w:jc w:val="center"/>
            <w:rPr>
              <w:rFonts w:ascii="Calibri" w:hAnsi="Calibri" w:cs="Calibri"/>
              <w:b/>
              <w:color w:val="808080"/>
              <w:sz w:val="15"/>
              <w:szCs w:val="18"/>
            </w:rPr>
          </w:pPr>
          <w:r w:rsidRPr="0011751D">
            <w:rPr>
              <w:rFonts w:ascii="Calibri" w:hAnsi="Calibri" w:cs="Calibri"/>
              <w:b/>
              <w:color w:val="808080"/>
              <w:sz w:val="15"/>
              <w:szCs w:val="18"/>
            </w:rPr>
            <w:t xml:space="preserve">Responsabile ufficio stampa e comunicazione Centro Studi Tagliacarne  </w:t>
          </w:r>
        </w:p>
        <w:p w14:paraId="5A801454" w14:textId="2A67D772" w:rsidR="0011751D" w:rsidRPr="0011751D" w:rsidRDefault="0011751D" w:rsidP="00B8212B">
          <w:pPr>
            <w:pStyle w:val="Pidipagina"/>
            <w:ind w:left="452" w:hanging="452"/>
            <w:jc w:val="center"/>
            <w:rPr>
              <w:rFonts w:ascii="Calibri" w:hAnsi="Calibri" w:cs="Calibri"/>
              <w:b/>
              <w:color w:val="808080"/>
              <w:sz w:val="15"/>
              <w:szCs w:val="18"/>
            </w:rPr>
          </w:pPr>
          <w:r w:rsidRPr="0011751D">
            <w:rPr>
              <w:rFonts w:ascii="Calibri" w:hAnsi="Calibri" w:cs="Calibri"/>
              <w:b/>
              <w:color w:val="808080"/>
              <w:sz w:val="15"/>
              <w:szCs w:val="18"/>
            </w:rPr>
            <w:t xml:space="preserve">Loredana Capuozzo 331.6098963, loredana.capuozzo@tagliacarne.it </w:t>
          </w:r>
        </w:p>
        <w:p w14:paraId="7E98CA88" w14:textId="0F32DBA2" w:rsidR="0011751D" w:rsidRPr="0011751D" w:rsidRDefault="00000000" w:rsidP="00432A61">
          <w:pPr>
            <w:pStyle w:val="Pidipagina"/>
            <w:jc w:val="center"/>
            <w:rPr>
              <w:rFonts w:ascii="Calibri" w:hAnsi="Calibri" w:cs="Calibri"/>
              <w:color w:val="808080"/>
              <w:sz w:val="15"/>
              <w:szCs w:val="18"/>
            </w:rPr>
          </w:pPr>
          <w:hyperlink r:id="rId3" w:history="1">
            <w:r w:rsidR="0011751D" w:rsidRPr="0011751D">
              <w:rPr>
                <w:rStyle w:val="Collegamentoipertestuale"/>
                <w:rFonts w:ascii="Calibri" w:hAnsi="Calibri" w:cs="Calibri"/>
                <w:sz w:val="15"/>
                <w:szCs w:val="18"/>
              </w:rPr>
              <w:t>www.tagliacarne.it</w:t>
            </w:r>
          </w:hyperlink>
          <w:r w:rsidR="0011751D" w:rsidRPr="0011751D">
            <w:rPr>
              <w:rStyle w:val="Collegamentoipertestuale"/>
              <w:rFonts w:ascii="Calibri" w:hAnsi="Calibri" w:cs="Calibri"/>
              <w:sz w:val="15"/>
              <w:szCs w:val="18"/>
            </w:rPr>
            <w:t xml:space="preserve">  </w:t>
          </w:r>
          <w:r w:rsidR="0011751D" w:rsidRPr="0011751D">
            <w:rPr>
              <w:rFonts w:ascii="Calibri" w:hAnsi="Calibri" w:cs="Calibri"/>
              <w:color w:val="808080"/>
              <w:sz w:val="15"/>
              <w:szCs w:val="18"/>
            </w:rPr>
            <w:t>twitter.com/</w:t>
          </w:r>
          <w:proofErr w:type="spellStart"/>
          <w:r w:rsidR="0011751D" w:rsidRPr="0011751D">
            <w:rPr>
              <w:rFonts w:ascii="Calibri" w:hAnsi="Calibri" w:cs="Calibri"/>
              <w:color w:val="808080"/>
              <w:sz w:val="15"/>
              <w:szCs w:val="18"/>
            </w:rPr>
            <w:t>IstTagliacarne</w:t>
          </w:r>
          <w:proofErr w:type="spellEnd"/>
        </w:p>
      </w:tc>
    </w:tr>
  </w:tbl>
  <w:p w14:paraId="5130C71C" w14:textId="760E16D8" w:rsidR="0011751D" w:rsidRPr="0011751D" w:rsidRDefault="0011751D" w:rsidP="008E0687">
    <w:pPr>
      <w:pStyle w:val="Pidipagina"/>
      <w:rPr>
        <w:sz w:val="21"/>
      </w:rPr>
    </w:pPr>
    <w:r w:rsidRPr="0011751D">
      <w:rPr>
        <w:rFonts w:asciiTheme="majorHAnsi" w:eastAsiaTheme="majorEastAsia" w:hAnsiTheme="majorHAnsi" w:cstheme="majorBidi"/>
        <w:noProof/>
        <w:sz w:val="22"/>
        <w:szCs w:val="28"/>
      </w:rPr>
      <mc:AlternateContent>
        <mc:Choice Requires="wps">
          <w:drawing>
            <wp:anchor distT="0" distB="0" distL="114300" distR="114300" simplePos="0" relativeHeight="251676672" behindDoc="0" locked="0" layoutInCell="0" allowOverlap="1" wp14:anchorId="7AAFF174" wp14:editId="7A179723">
              <wp:simplePos x="0" y="0"/>
              <wp:positionH relativeFrom="rightMargin">
                <wp:posOffset>440055</wp:posOffset>
              </wp:positionH>
              <wp:positionV relativeFrom="page">
                <wp:posOffset>9395460</wp:posOffset>
              </wp:positionV>
              <wp:extent cx="320040" cy="332740"/>
              <wp:effectExtent l="0" t="0" r="0" b="0"/>
              <wp:wrapNone/>
              <wp:docPr id="8" name="Ova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32740"/>
                      </a:xfrm>
                      <a:prstGeom prst="ellipse">
                        <a:avLst/>
                      </a:prstGeom>
                      <a:solidFill>
                        <a:schemeClr val="accent1"/>
                      </a:solidFill>
                      <a:ln>
                        <a:noFill/>
                      </a:ln>
                    </wps:spPr>
                    <wps:txbx>
                      <w:txbxContent>
                        <w:p w14:paraId="2EAC3F84" w14:textId="5995B261" w:rsidR="0011751D" w:rsidRDefault="0011751D">
                          <w:pPr>
                            <w:rPr>
                              <w:rStyle w:val="Numeropagina"/>
                              <w:color w:val="FFFFFF" w:themeColor="background1"/>
                              <w:szCs w:val="24"/>
                            </w:rPr>
                          </w:pPr>
                          <w:r>
                            <w:rPr>
                              <w:sz w:val="22"/>
                              <w:szCs w:val="22"/>
                            </w:rPr>
                            <w:fldChar w:fldCharType="begin"/>
                          </w:r>
                          <w:r>
                            <w:instrText>PAGE    \* MERGEFORMAT</w:instrText>
                          </w:r>
                          <w:r>
                            <w:rPr>
                              <w:sz w:val="22"/>
                              <w:szCs w:val="22"/>
                            </w:rPr>
                            <w:fldChar w:fldCharType="separate"/>
                          </w:r>
                          <w:r w:rsidR="00EE791E" w:rsidRPr="00EE791E">
                            <w:rPr>
                              <w:rStyle w:val="Numeropagina"/>
                              <w:b/>
                              <w:bCs/>
                              <w:noProof/>
                              <w:color w:val="FFFFFF" w:themeColor="background1"/>
                              <w:szCs w:val="24"/>
                            </w:rPr>
                            <w:t>1</w:t>
                          </w:r>
                          <w:r>
                            <w:rPr>
                              <w:rStyle w:val="Numeropagina"/>
                              <w:b/>
                              <w:bCs/>
                              <w:color w:val="FFFFFF" w:themeColor="background1"/>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AFF174" id="Ovale 8" o:spid="_x0000_s1037" style="position:absolute;left:0;text-align:left;margin-left:34.65pt;margin-top:739.8pt;width:25.2pt;height:26.2pt;z-index:2516766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wbg7wEAAMQDAAAOAAAAZHJzL2Uyb0RvYy54bWysU9uO0zAQfUfiHyy/0/SysChqulp1tQhp&#10;uUgLHzB1nMTC8Zix26R8PWOn7VbwhnixZsbj43OOx+u7sbfioCkYdJVczOZSaKewNq6t5Pdvj2/e&#10;SxEiuBosOl3Jow7ybvP61XrwpV5ih7bWJBjEhXLwlexi9GVRBNXpHsIMvXa82SD1EDmltqgJBkbv&#10;bbGcz98VA1LtCZUOgasP06bcZPym0Sp+aZqgo7CVZG4xr5TXXVqLzRrKlsB3Rp1owD+w6ME4vvQC&#10;9QARxJ7MX1C9UYQBmzhT2BfYNEbprIHVLOZ/qHnuwOushc0J/mJT+H+w6vPh2X+lRD34J1Q/gnC4&#10;7cC1+p4Ih05DzdctklHF4EN5OZCSwEfFbviENT8t7CNmD8aG+gTI6sSYrT5erNZjFIqLK368G34Q&#10;xVur1fKW43QDlOfDnkL8oLEXKaikttb4kMyAEg5PIU7d567MH62pH421OUkDpLeWxAH46UEp7eKk&#10;gpVed1qX+h2mkxNoqmStSV6apFDGcTcKUzPXRDNVdlgfWTzhNFL8BTjokH5JMfA4VTL83ANpKexH&#10;xwam2cvBzdvbJSd0ru6uq+AUQ1QySjGF2zjN6t6TaTu+YZEdcHjPZjcmu/DC5kSbRyVbeRrrNIvX&#10;ee56+Xyb3wAAAP//AwBQSwMEFAAGAAgAAAAhAPLCxBbfAAAADAEAAA8AAABkcnMvZG93bnJldi54&#10;bWxMj01Pg0AQhu8m/ofNmHizQ6lCQZbGGL14MFp78bbACCg7S9htS/+905Pe5uPJO88Um9kO6kCT&#10;7x1rWC4iUMS1a3puNew+nm/WoHww3JjBMWk4kYdNeXlRmLxxR36nwza0SkLY50ZDF8KYI/q6I2v8&#10;wo3EsvtykzVB2qnFZjJHCbcDxlGUoDU9y4XOjPTYUf2z3VsNjM69fibfLSG+jG+np2q9i1Otr6/m&#10;h3tQgebwB8NZX9ShFKfK7bnxatCQZCshZX6bZgmoM7HMUlCVFHerOAIsC/z/RPkLAAD//wMAUEsB&#10;Ai0AFAAGAAgAAAAhALaDOJL+AAAA4QEAABMAAAAAAAAAAAAAAAAAAAAAAFtDb250ZW50X1R5cGVz&#10;XS54bWxQSwECLQAUAAYACAAAACEAOP0h/9YAAACUAQAACwAAAAAAAAAAAAAAAAAvAQAAX3JlbHMv&#10;LnJlbHNQSwECLQAUAAYACAAAACEAer8G4O8BAADEAwAADgAAAAAAAAAAAAAAAAAuAgAAZHJzL2Uy&#10;b0RvYy54bWxQSwECLQAUAAYACAAAACEA8sLEFt8AAAAMAQAADwAAAAAAAAAAAAAAAABJBAAAZHJz&#10;L2Rvd25yZXYueG1sUEsFBgAAAAAEAAQA8wAAAFUFAAAAAA==&#10;" o:allowincell="f" fillcolor="#5b9bd5 [3204]" stroked="f">
              <v:textbox inset="0,,0">
                <w:txbxContent>
                  <w:p w14:paraId="2EAC3F84" w14:textId="5995B261" w:rsidR="0011751D" w:rsidRDefault="0011751D">
                    <w:pPr>
                      <w:rPr>
                        <w:rStyle w:val="Numeropagina"/>
                        <w:color w:val="FFFFFF" w:themeColor="background1"/>
                        <w:szCs w:val="24"/>
                      </w:rPr>
                    </w:pPr>
                    <w:r>
                      <w:rPr>
                        <w:sz w:val="22"/>
                        <w:szCs w:val="22"/>
                      </w:rPr>
                      <w:fldChar w:fldCharType="begin"/>
                    </w:r>
                    <w:r>
                      <w:instrText>PAGE    \* MERGEFORMAT</w:instrText>
                    </w:r>
                    <w:r>
                      <w:rPr>
                        <w:sz w:val="22"/>
                        <w:szCs w:val="22"/>
                      </w:rPr>
                      <w:fldChar w:fldCharType="separate"/>
                    </w:r>
                    <w:r w:rsidR="00EE791E" w:rsidRPr="00EE791E">
                      <w:rPr>
                        <w:rStyle w:val="Numeropagina"/>
                        <w:b/>
                        <w:bCs/>
                        <w:noProof/>
                        <w:color w:val="FFFFFF" w:themeColor="background1"/>
                        <w:szCs w:val="24"/>
                      </w:rPr>
                      <w:t>1</w:t>
                    </w:r>
                    <w:r>
                      <w:rPr>
                        <w:rStyle w:val="Numeropagina"/>
                        <w:b/>
                        <w:bCs/>
                        <w:color w:val="FFFFFF" w:themeColor="background1"/>
                        <w:szCs w:val="24"/>
                      </w:rPr>
                      <w:fldChar w:fldCharType="end"/>
                    </w:r>
                  </w:p>
                </w:txbxContent>
              </v:textbox>
              <w10:wrap anchorx="margin" anchory="page"/>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FCDDB" w14:textId="77777777" w:rsidR="00516DE6" w:rsidRDefault="00516DE6">
      <w:r>
        <w:separator/>
      </w:r>
    </w:p>
  </w:footnote>
  <w:footnote w:type="continuationSeparator" w:id="0">
    <w:p w14:paraId="1DAB406E" w14:textId="77777777" w:rsidR="00516DE6" w:rsidRDefault="00516D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7A94B" w14:textId="77777777" w:rsidR="00375E89" w:rsidRDefault="00375E8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45E7D" w14:textId="77777777" w:rsidR="00375E89" w:rsidRPr="00F91DD0" w:rsidRDefault="00375E89" w:rsidP="00F91DD0">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D23E6" w14:textId="77777777" w:rsidR="0011751D" w:rsidRDefault="0011751D" w:rsidP="00EB5491">
    <w:pPr>
      <w:pStyle w:val="Intestazione"/>
      <w:ind w:left="5670"/>
    </w:pPr>
    <w:r>
      <w:rPr>
        <w:noProof/>
      </w:rPr>
      <w:drawing>
        <wp:anchor distT="0" distB="0" distL="114300" distR="114300" simplePos="0" relativeHeight="251670528" behindDoc="1" locked="0" layoutInCell="1" allowOverlap="1" wp14:anchorId="778B84EB" wp14:editId="3E772E1F">
          <wp:simplePos x="0" y="0"/>
          <wp:positionH relativeFrom="column">
            <wp:posOffset>-677545</wp:posOffset>
          </wp:positionH>
          <wp:positionV relativeFrom="paragraph">
            <wp:posOffset>18822</wp:posOffset>
          </wp:positionV>
          <wp:extent cx="2494915" cy="586968"/>
          <wp:effectExtent l="0" t="0" r="635" b="3810"/>
          <wp:wrapNone/>
          <wp:docPr id="2" name="Immagine 2" descr="Descrizione: http://www.unioncamere.gov.it/images/logo_unioncame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Descrizione: http://www.unioncamere.gov.it/images/logo_unioncamer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6297" cy="596704"/>
                  </a:xfrm>
                  <a:prstGeom prst="rect">
                    <a:avLst/>
                  </a:prstGeom>
                  <a:noFill/>
                  <a:ln>
                    <a:noFill/>
                  </a:ln>
                </pic:spPr>
              </pic:pic>
            </a:graphicData>
          </a:graphic>
        </wp:anchor>
      </w:drawing>
    </w:r>
    <w:r w:rsidRPr="00EB5491">
      <w:rPr>
        <w:noProof/>
      </w:rPr>
      <w:drawing>
        <wp:inline distT="0" distB="0" distL="0" distR="0" wp14:anchorId="7D3133C0" wp14:editId="639B3A71">
          <wp:extent cx="2715826" cy="636791"/>
          <wp:effectExtent l="0" t="0" r="0" b="0"/>
          <wp:docPr id="1" name="Immagine 1" descr="C:\Users\User\Desktop\lavoro_loredana_e_lory08022021\lavoro_loredana\taglicarne_strategia\logo_tagliacarne\marchio Tagliacarne (2)\marchio-TAGLIACARNE-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lavoro_loredana_e_lory08022021\lavoro_loredana\taglicarne_strategia\logo_tagliacarne\marchio Tagliacarne (2)\marchio-TAGLIACARNE-RG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11335" cy="6591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0pt;height:50pt" o:bullet="t">
        <v:imagedata r:id="rId1" o:title="ico_uc_email"/>
      </v:shape>
    </w:pict>
  </w:numPicBullet>
  <w:abstractNum w:abstractNumId="0" w15:restartNumberingAfterBreak="0">
    <w:nsid w:val="186E6B88"/>
    <w:multiLevelType w:val="hybridMultilevel"/>
    <w:tmpl w:val="DF56AA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D8819BC"/>
    <w:multiLevelType w:val="hybridMultilevel"/>
    <w:tmpl w:val="F5660504"/>
    <w:lvl w:ilvl="0" w:tplc="7EBC7138">
      <w:start w:val="5"/>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1401B30"/>
    <w:multiLevelType w:val="hybridMultilevel"/>
    <w:tmpl w:val="54522A5C"/>
    <w:lvl w:ilvl="0" w:tplc="04100001">
      <w:start w:val="1"/>
      <w:numFmt w:val="bullet"/>
      <w:lvlText w:val=""/>
      <w:lvlJc w:val="left"/>
      <w:pPr>
        <w:ind w:left="1500" w:hanging="360"/>
      </w:pPr>
      <w:rPr>
        <w:rFonts w:ascii="Symbol" w:hAnsi="Symbol"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3" w15:restartNumberingAfterBreak="0">
    <w:nsid w:val="3B881B7C"/>
    <w:multiLevelType w:val="hybridMultilevel"/>
    <w:tmpl w:val="4D2E4B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572EDC"/>
    <w:multiLevelType w:val="hybridMultilevel"/>
    <w:tmpl w:val="F48A1554"/>
    <w:lvl w:ilvl="0" w:tplc="0410000F">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4D4F054F"/>
    <w:multiLevelType w:val="hybridMultilevel"/>
    <w:tmpl w:val="32461732"/>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1EB3FFB"/>
    <w:multiLevelType w:val="hybridMultilevel"/>
    <w:tmpl w:val="68D2C5DE"/>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9BA4F2F"/>
    <w:multiLevelType w:val="singleLevel"/>
    <w:tmpl w:val="851CE2B8"/>
    <w:lvl w:ilvl="0">
      <w:start w:val="1"/>
      <w:numFmt w:val="bullet"/>
      <w:pStyle w:val="Rientrolettere"/>
      <w:lvlText w:val="-"/>
      <w:lvlJc w:val="left"/>
      <w:pPr>
        <w:tabs>
          <w:tab w:val="num" w:pos="360"/>
        </w:tabs>
        <w:ind w:left="360" w:hanging="360"/>
      </w:pPr>
      <w:rPr>
        <w:rFonts w:ascii="Times New Roman" w:hAnsi="Times New Roman" w:hint="default"/>
      </w:rPr>
    </w:lvl>
  </w:abstractNum>
  <w:abstractNum w:abstractNumId="8" w15:restartNumberingAfterBreak="0">
    <w:nsid w:val="75516FD1"/>
    <w:multiLevelType w:val="multilevel"/>
    <w:tmpl w:val="B91E3F5E"/>
    <w:lvl w:ilvl="0">
      <w:start w:val="1"/>
      <w:numFmt w:val="decimal"/>
      <w:lvlText w:val="%1."/>
      <w:lvlJc w:val="left"/>
      <w:pPr>
        <w:tabs>
          <w:tab w:val="num" w:pos="360"/>
        </w:tabs>
        <w:ind w:left="360" w:hanging="360"/>
      </w:pPr>
    </w:lvl>
    <w:lvl w:ilvl="1">
      <w:start w:val="1"/>
      <w:numFmt w:val="decimal"/>
      <w:pStyle w:val="S2"/>
      <w:lvlText w:val="%1.%2."/>
      <w:lvlJc w:val="left"/>
      <w:pPr>
        <w:tabs>
          <w:tab w:val="num" w:pos="792"/>
        </w:tabs>
        <w:ind w:left="792" w:hanging="79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683555363">
    <w:abstractNumId w:val="8"/>
  </w:num>
  <w:num w:numId="2" w16cid:durableId="1898516405">
    <w:abstractNumId w:val="7"/>
  </w:num>
  <w:num w:numId="3" w16cid:durableId="795223158">
    <w:abstractNumId w:val="1"/>
  </w:num>
  <w:num w:numId="4" w16cid:durableId="1614366289">
    <w:abstractNumId w:val="2"/>
  </w:num>
  <w:num w:numId="5" w16cid:durableId="138154185">
    <w:abstractNumId w:val="0"/>
  </w:num>
  <w:num w:numId="6" w16cid:durableId="59059282">
    <w:abstractNumId w:val="3"/>
  </w:num>
  <w:num w:numId="7" w16cid:durableId="1379817159">
    <w:abstractNumId w:val="4"/>
  </w:num>
  <w:num w:numId="8" w16cid:durableId="212691840">
    <w:abstractNumId w:val="5"/>
  </w:num>
  <w:num w:numId="9" w16cid:durableId="916088422">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BF0"/>
    <w:rsid w:val="000017B2"/>
    <w:rsid w:val="000068CD"/>
    <w:rsid w:val="00011532"/>
    <w:rsid w:val="00014811"/>
    <w:rsid w:val="0002367A"/>
    <w:rsid w:val="00025355"/>
    <w:rsid w:val="00025B7F"/>
    <w:rsid w:val="000276D2"/>
    <w:rsid w:val="00027F2E"/>
    <w:rsid w:val="00033FAD"/>
    <w:rsid w:val="00043006"/>
    <w:rsid w:val="000533F9"/>
    <w:rsid w:val="00054023"/>
    <w:rsid w:val="000601CF"/>
    <w:rsid w:val="00065EAB"/>
    <w:rsid w:val="00073218"/>
    <w:rsid w:val="000732A6"/>
    <w:rsid w:val="000803DF"/>
    <w:rsid w:val="00081250"/>
    <w:rsid w:val="000836A4"/>
    <w:rsid w:val="00084796"/>
    <w:rsid w:val="00085058"/>
    <w:rsid w:val="000942A2"/>
    <w:rsid w:val="00094810"/>
    <w:rsid w:val="0009649A"/>
    <w:rsid w:val="000A0D17"/>
    <w:rsid w:val="000A3D5A"/>
    <w:rsid w:val="000A5C7E"/>
    <w:rsid w:val="000A71E9"/>
    <w:rsid w:val="000B2D19"/>
    <w:rsid w:val="000B50F7"/>
    <w:rsid w:val="000B6C06"/>
    <w:rsid w:val="000B6C40"/>
    <w:rsid w:val="000B71A1"/>
    <w:rsid w:val="000C4837"/>
    <w:rsid w:val="000C48B9"/>
    <w:rsid w:val="000C49BF"/>
    <w:rsid w:val="000C7F11"/>
    <w:rsid w:val="000D00B9"/>
    <w:rsid w:val="000D06CB"/>
    <w:rsid w:val="000D55E4"/>
    <w:rsid w:val="000D7D12"/>
    <w:rsid w:val="000E1153"/>
    <w:rsid w:val="000E48CB"/>
    <w:rsid w:val="000E5BF7"/>
    <w:rsid w:val="000E669F"/>
    <w:rsid w:val="000E6FE3"/>
    <w:rsid w:val="000E785E"/>
    <w:rsid w:val="000F2D02"/>
    <w:rsid w:val="000F7DE3"/>
    <w:rsid w:val="00105FA4"/>
    <w:rsid w:val="00112E7A"/>
    <w:rsid w:val="001137F5"/>
    <w:rsid w:val="00113CA9"/>
    <w:rsid w:val="00113CC6"/>
    <w:rsid w:val="00114CC3"/>
    <w:rsid w:val="0011671A"/>
    <w:rsid w:val="0011751D"/>
    <w:rsid w:val="00117C47"/>
    <w:rsid w:val="00120F09"/>
    <w:rsid w:val="00122888"/>
    <w:rsid w:val="0012352E"/>
    <w:rsid w:val="001251CD"/>
    <w:rsid w:val="00130C19"/>
    <w:rsid w:val="00140A97"/>
    <w:rsid w:val="0014309F"/>
    <w:rsid w:val="00152E55"/>
    <w:rsid w:val="001531C8"/>
    <w:rsid w:val="00155841"/>
    <w:rsid w:val="001608E0"/>
    <w:rsid w:val="00162BBF"/>
    <w:rsid w:val="00171FE4"/>
    <w:rsid w:val="00172A83"/>
    <w:rsid w:val="00175487"/>
    <w:rsid w:val="00182DFE"/>
    <w:rsid w:val="0018372E"/>
    <w:rsid w:val="00183DE7"/>
    <w:rsid w:val="001873E2"/>
    <w:rsid w:val="0019162E"/>
    <w:rsid w:val="001956FC"/>
    <w:rsid w:val="001A0430"/>
    <w:rsid w:val="001A2F2A"/>
    <w:rsid w:val="001A4337"/>
    <w:rsid w:val="001A5010"/>
    <w:rsid w:val="001B14D1"/>
    <w:rsid w:val="001B2987"/>
    <w:rsid w:val="001B3001"/>
    <w:rsid w:val="001B702B"/>
    <w:rsid w:val="001B76D7"/>
    <w:rsid w:val="001C06B2"/>
    <w:rsid w:val="001D48B2"/>
    <w:rsid w:val="001D48E0"/>
    <w:rsid w:val="001D7FEB"/>
    <w:rsid w:val="001E77CE"/>
    <w:rsid w:val="001E79D7"/>
    <w:rsid w:val="001F0B20"/>
    <w:rsid w:val="001F4790"/>
    <w:rsid w:val="001F4B6B"/>
    <w:rsid w:val="001F781D"/>
    <w:rsid w:val="001F7BB3"/>
    <w:rsid w:val="002075C7"/>
    <w:rsid w:val="0021221D"/>
    <w:rsid w:val="0021595E"/>
    <w:rsid w:val="00215BBF"/>
    <w:rsid w:val="00216C9D"/>
    <w:rsid w:val="002203EB"/>
    <w:rsid w:val="00220ED8"/>
    <w:rsid w:val="00223583"/>
    <w:rsid w:val="0022565B"/>
    <w:rsid w:val="002260C5"/>
    <w:rsid w:val="00226B11"/>
    <w:rsid w:val="00232088"/>
    <w:rsid w:val="002342AB"/>
    <w:rsid w:val="00234BB9"/>
    <w:rsid w:val="002355BF"/>
    <w:rsid w:val="00244373"/>
    <w:rsid w:val="00247843"/>
    <w:rsid w:val="002518CC"/>
    <w:rsid w:val="002539D1"/>
    <w:rsid w:val="00255BF4"/>
    <w:rsid w:val="00272EC1"/>
    <w:rsid w:val="0028137C"/>
    <w:rsid w:val="002814E2"/>
    <w:rsid w:val="00283941"/>
    <w:rsid w:val="00283E30"/>
    <w:rsid w:val="00285E5E"/>
    <w:rsid w:val="00290AE9"/>
    <w:rsid w:val="00291345"/>
    <w:rsid w:val="002913D3"/>
    <w:rsid w:val="00291EF2"/>
    <w:rsid w:val="002934B8"/>
    <w:rsid w:val="00295EDC"/>
    <w:rsid w:val="0029721C"/>
    <w:rsid w:val="00297F88"/>
    <w:rsid w:val="002A0881"/>
    <w:rsid w:val="002A210C"/>
    <w:rsid w:val="002A4774"/>
    <w:rsid w:val="002A48E2"/>
    <w:rsid w:val="002A5770"/>
    <w:rsid w:val="002A6131"/>
    <w:rsid w:val="002A7EF0"/>
    <w:rsid w:val="002B1971"/>
    <w:rsid w:val="002B3FA0"/>
    <w:rsid w:val="002B4148"/>
    <w:rsid w:val="002B47F5"/>
    <w:rsid w:val="002B506B"/>
    <w:rsid w:val="002C2807"/>
    <w:rsid w:val="002C6F6B"/>
    <w:rsid w:val="002C7B2B"/>
    <w:rsid w:val="002C7F50"/>
    <w:rsid w:val="002D109F"/>
    <w:rsid w:val="002D4712"/>
    <w:rsid w:val="002D5384"/>
    <w:rsid w:val="002E2D0B"/>
    <w:rsid w:val="002F1B7D"/>
    <w:rsid w:val="002F240F"/>
    <w:rsid w:val="002F41B8"/>
    <w:rsid w:val="002F56D6"/>
    <w:rsid w:val="003013AE"/>
    <w:rsid w:val="00304CFD"/>
    <w:rsid w:val="003105A7"/>
    <w:rsid w:val="003108B6"/>
    <w:rsid w:val="00312CD9"/>
    <w:rsid w:val="0031402D"/>
    <w:rsid w:val="003156F3"/>
    <w:rsid w:val="003259C6"/>
    <w:rsid w:val="0032711B"/>
    <w:rsid w:val="00327E44"/>
    <w:rsid w:val="00330C57"/>
    <w:rsid w:val="00333CBF"/>
    <w:rsid w:val="0033411C"/>
    <w:rsid w:val="0033788D"/>
    <w:rsid w:val="00340182"/>
    <w:rsid w:val="00341286"/>
    <w:rsid w:val="0034717E"/>
    <w:rsid w:val="00350365"/>
    <w:rsid w:val="003506B5"/>
    <w:rsid w:val="0035696A"/>
    <w:rsid w:val="00362B70"/>
    <w:rsid w:val="0036392B"/>
    <w:rsid w:val="00363A58"/>
    <w:rsid w:val="00370284"/>
    <w:rsid w:val="00370D06"/>
    <w:rsid w:val="00375E89"/>
    <w:rsid w:val="00383763"/>
    <w:rsid w:val="003864F8"/>
    <w:rsid w:val="00391C74"/>
    <w:rsid w:val="00391D84"/>
    <w:rsid w:val="00395DC2"/>
    <w:rsid w:val="00397FA8"/>
    <w:rsid w:val="003A3477"/>
    <w:rsid w:val="003A3B47"/>
    <w:rsid w:val="003A5F12"/>
    <w:rsid w:val="003B5391"/>
    <w:rsid w:val="003B6807"/>
    <w:rsid w:val="003C24D9"/>
    <w:rsid w:val="003C2BDF"/>
    <w:rsid w:val="003C399A"/>
    <w:rsid w:val="003C3A13"/>
    <w:rsid w:val="003C66B6"/>
    <w:rsid w:val="003C7D49"/>
    <w:rsid w:val="003C7F64"/>
    <w:rsid w:val="003D0CA9"/>
    <w:rsid w:val="003D0D86"/>
    <w:rsid w:val="003D0F8B"/>
    <w:rsid w:val="003D1FF1"/>
    <w:rsid w:val="003D26A3"/>
    <w:rsid w:val="003D29A9"/>
    <w:rsid w:val="003D2A56"/>
    <w:rsid w:val="003E19DF"/>
    <w:rsid w:val="003E7B9B"/>
    <w:rsid w:val="003F170F"/>
    <w:rsid w:val="003F17D9"/>
    <w:rsid w:val="003F3C66"/>
    <w:rsid w:val="003F5572"/>
    <w:rsid w:val="004000A6"/>
    <w:rsid w:val="004038E8"/>
    <w:rsid w:val="00410690"/>
    <w:rsid w:val="004139EB"/>
    <w:rsid w:val="00415E34"/>
    <w:rsid w:val="00416B25"/>
    <w:rsid w:val="00421946"/>
    <w:rsid w:val="00422659"/>
    <w:rsid w:val="00422F2B"/>
    <w:rsid w:val="00425AFA"/>
    <w:rsid w:val="00425D86"/>
    <w:rsid w:val="00427016"/>
    <w:rsid w:val="00432A61"/>
    <w:rsid w:val="0043471E"/>
    <w:rsid w:val="0043569A"/>
    <w:rsid w:val="0044309F"/>
    <w:rsid w:val="0045607C"/>
    <w:rsid w:val="004570FB"/>
    <w:rsid w:val="004607C8"/>
    <w:rsid w:val="00460CE4"/>
    <w:rsid w:val="00465476"/>
    <w:rsid w:val="00466B5D"/>
    <w:rsid w:val="00467827"/>
    <w:rsid w:val="00477D8E"/>
    <w:rsid w:val="00482F5C"/>
    <w:rsid w:val="00483A9A"/>
    <w:rsid w:val="00486A92"/>
    <w:rsid w:val="00487065"/>
    <w:rsid w:val="00492BF7"/>
    <w:rsid w:val="00494885"/>
    <w:rsid w:val="004A4E70"/>
    <w:rsid w:val="004A7DD9"/>
    <w:rsid w:val="004B1EB8"/>
    <w:rsid w:val="004B3E7C"/>
    <w:rsid w:val="004C0B8C"/>
    <w:rsid w:val="004C5092"/>
    <w:rsid w:val="004C7073"/>
    <w:rsid w:val="004D079A"/>
    <w:rsid w:val="004D4428"/>
    <w:rsid w:val="004D4A3D"/>
    <w:rsid w:val="004D5410"/>
    <w:rsid w:val="004E2352"/>
    <w:rsid w:val="004E39AA"/>
    <w:rsid w:val="004E5AE7"/>
    <w:rsid w:val="004F0CB6"/>
    <w:rsid w:val="004F7FCF"/>
    <w:rsid w:val="0050036D"/>
    <w:rsid w:val="00501D9E"/>
    <w:rsid w:val="0050294D"/>
    <w:rsid w:val="005062F3"/>
    <w:rsid w:val="00510367"/>
    <w:rsid w:val="00511BAA"/>
    <w:rsid w:val="005132CE"/>
    <w:rsid w:val="00513F62"/>
    <w:rsid w:val="00516183"/>
    <w:rsid w:val="00516DE6"/>
    <w:rsid w:val="00523F54"/>
    <w:rsid w:val="005266AF"/>
    <w:rsid w:val="00526B59"/>
    <w:rsid w:val="00535AAC"/>
    <w:rsid w:val="005419C1"/>
    <w:rsid w:val="005440DA"/>
    <w:rsid w:val="00545251"/>
    <w:rsid w:val="005522C6"/>
    <w:rsid w:val="00552605"/>
    <w:rsid w:val="0055469A"/>
    <w:rsid w:val="00554A1D"/>
    <w:rsid w:val="00555501"/>
    <w:rsid w:val="005569D7"/>
    <w:rsid w:val="00560D19"/>
    <w:rsid w:val="00562133"/>
    <w:rsid w:val="00564006"/>
    <w:rsid w:val="005651FD"/>
    <w:rsid w:val="005658D3"/>
    <w:rsid w:val="00572B22"/>
    <w:rsid w:val="00572D30"/>
    <w:rsid w:val="00576C16"/>
    <w:rsid w:val="00577C2E"/>
    <w:rsid w:val="00580131"/>
    <w:rsid w:val="005830A3"/>
    <w:rsid w:val="00585753"/>
    <w:rsid w:val="00590232"/>
    <w:rsid w:val="00590F0A"/>
    <w:rsid w:val="00592124"/>
    <w:rsid w:val="00592D33"/>
    <w:rsid w:val="00597E82"/>
    <w:rsid w:val="005A3766"/>
    <w:rsid w:val="005A51C5"/>
    <w:rsid w:val="005A6A48"/>
    <w:rsid w:val="005A7555"/>
    <w:rsid w:val="005A76AD"/>
    <w:rsid w:val="005B0D6D"/>
    <w:rsid w:val="005B5C91"/>
    <w:rsid w:val="005B5ECD"/>
    <w:rsid w:val="005C0CDB"/>
    <w:rsid w:val="005C224F"/>
    <w:rsid w:val="005C7142"/>
    <w:rsid w:val="005D1EA0"/>
    <w:rsid w:val="005D213C"/>
    <w:rsid w:val="005D7D50"/>
    <w:rsid w:val="005D7E24"/>
    <w:rsid w:val="005E2B6A"/>
    <w:rsid w:val="005E5CF9"/>
    <w:rsid w:val="005E6593"/>
    <w:rsid w:val="005F2F58"/>
    <w:rsid w:val="005F3EB4"/>
    <w:rsid w:val="005F41AE"/>
    <w:rsid w:val="005F5F7E"/>
    <w:rsid w:val="005F6A2C"/>
    <w:rsid w:val="006030CC"/>
    <w:rsid w:val="00603553"/>
    <w:rsid w:val="006050A4"/>
    <w:rsid w:val="00605B08"/>
    <w:rsid w:val="006126AD"/>
    <w:rsid w:val="006139A6"/>
    <w:rsid w:val="0061403C"/>
    <w:rsid w:val="006220F3"/>
    <w:rsid w:val="00622CE8"/>
    <w:rsid w:val="006307F2"/>
    <w:rsid w:val="006364D9"/>
    <w:rsid w:val="0063658C"/>
    <w:rsid w:val="0065051C"/>
    <w:rsid w:val="00651E35"/>
    <w:rsid w:val="006535FC"/>
    <w:rsid w:val="00653CDB"/>
    <w:rsid w:val="006541B3"/>
    <w:rsid w:val="006544F7"/>
    <w:rsid w:val="006601FD"/>
    <w:rsid w:val="0066046D"/>
    <w:rsid w:val="00664174"/>
    <w:rsid w:val="00680BB1"/>
    <w:rsid w:val="006836C9"/>
    <w:rsid w:val="00684AFB"/>
    <w:rsid w:val="00684B2A"/>
    <w:rsid w:val="00690246"/>
    <w:rsid w:val="0069382C"/>
    <w:rsid w:val="006A6DBC"/>
    <w:rsid w:val="006A7D9D"/>
    <w:rsid w:val="006B5152"/>
    <w:rsid w:val="006B5594"/>
    <w:rsid w:val="006C3D08"/>
    <w:rsid w:val="006C47A1"/>
    <w:rsid w:val="006C5714"/>
    <w:rsid w:val="006D1DDB"/>
    <w:rsid w:val="006D3554"/>
    <w:rsid w:val="006D4122"/>
    <w:rsid w:val="006D73C0"/>
    <w:rsid w:val="006E373A"/>
    <w:rsid w:val="006F5675"/>
    <w:rsid w:val="006F7B39"/>
    <w:rsid w:val="00700662"/>
    <w:rsid w:val="00703D43"/>
    <w:rsid w:val="0070505A"/>
    <w:rsid w:val="0070728B"/>
    <w:rsid w:val="00714BA4"/>
    <w:rsid w:val="007210BC"/>
    <w:rsid w:val="0072301B"/>
    <w:rsid w:val="00723ADA"/>
    <w:rsid w:val="00730050"/>
    <w:rsid w:val="007351DE"/>
    <w:rsid w:val="00736342"/>
    <w:rsid w:val="007410D7"/>
    <w:rsid w:val="007445AB"/>
    <w:rsid w:val="0074691E"/>
    <w:rsid w:val="007473EF"/>
    <w:rsid w:val="00750547"/>
    <w:rsid w:val="0075396C"/>
    <w:rsid w:val="007546E0"/>
    <w:rsid w:val="00755AF7"/>
    <w:rsid w:val="00760283"/>
    <w:rsid w:val="00763182"/>
    <w:rsid w:val="00765ED2"/>
    <w:rsid w:val="0076727E"/>
    <w:rsid w:val="00767437"/>
    <w:rsid w:val="00771336"/>
    <w:rsid w:val="00771B09"/>
    <w:rsid w:val="00771F68"/>
    <w:rsid w:val="00777213"/>
    <w:rsid w:val="007822CB"/>
    <w:rsid w:val="00784174"/>
    <w:rsid w:val="007913EE"/>
    <w:rsid w:val="00793B58"/>
    <w:rsid w:val="0079595A"/>
    <w:rsid w:val="007A43BB"/>
    <w:rsid w:val="007A73AC"/>
    <w:rsid w:val="007B065C"/>
    <w:rsid w:val="007B3772"/>
    <w:rsid w:val="007C0665"/>
    <w:rsid w:val="007C1EC8"/>
    <w:rsid w:val="007C6476"/>
    <w:rsid w:val="007D72E2"/>
    <w:rsid w:val="007E30C2"/>
    <w:rsid w:val="007E53DB"/>
    <w:rsid w:val="007E6007"/>
    <w:rsid w:val="007E640A"/>
    <w:rsid w:val="007E6476"/>
    <w:rsid w:val="007E6D4B"/>
    <w:rsid w:val="007E7CB9"/>
    <w:rsid w:val="007E7CF1"/>
    <w:rsid w:val="007F32C9"/>
    <w:rsid w:val="007F382B"/>
    <w:rsid w:val="007F5B39"/>
    <w:rsid w:val="007F634A"/>
    <w:rsid w:val="0080791C"/>
    <w:rsid w:val="008107A8"/>
    <w:rsid w:val="00816DDA"/>
    <w:rsid w:val="00817BFD"/>
    <w:rsid w:val="00823440"/>
    <w:rsid w:val="0082664B"/>
    <w:rsid w:val="00831CA0"/>
    <w:rsid w:val="008337B5"/>
    <w:rsid w:val="0084095D"/>
    <w:rsid w:val="0084309A"/>
    <w:rsid w:val="008436D8"/>
    <w:rsid w:val="0084493B"/>
    <w:rsid w:val="00846D3F"/>
    <w:rsid w:val="00850EF3"/>
    <w:rsid w:val="00855903"/>
    <w:rsid w:val="008566CA"/>
    <w:rsid w:val="00864100"/>
    <w:rsid w:val="00864FFA"/>
    <w:rsid w:val="008653DE"/>
    <w:rsid w:val="008666B6"/>
    <w:rsid w:val="008676E1"/>
    <w:rsid w:val="008753FC"/>
    <w:rsid w:val="00875EBF"/>
    <w:rsid w:val="00881512"/>
    <w:rsid w:val="008825A5"/>
    <w:rsid w:val="008863E8"/>
    <w:rsid w:val="008923C1"/>
    <w:rsid w:val="00895788"/>
    <w:rsid w:val="008B4FD1"/>
    <w:rsid w:val="008B6F93"/>
    <w:rsid w:val="008C0911"/>
    <w:rsid w:val="008C2442"/>
    <w:rsid w:val="008C44EB"/>
    <w:rsid w:val="008C4E07"/>
    <w:rsid w:val="008C5430"/>
    <w:rsid w:val="008C7BA4"/>
    <w:rsid w:val="008D14B5"/>
    <w:rsid w:val="008D29BF"/>
    <w:rsid w:val="008D5AA8"/>
    <w:rsid w:val="008E0361"/>
    <w:rsid w:val="008E0687"/>
    <w:rsid w:val="008E09F6"/>
    <w:rsid w:val="008E17F1"/>
    <w:rsid w:val="008E1F3B"/>
    <w:rsid w:val="008E7325"/>
    <w:rsid w:val="008E75C6"/>
    <w:rsid w:val="008F1D33"/>
    <w:rsid w:val="008F357B"/>
    <w:rsid w:val="008F6A9A"/>
    <w:rsid w:val="008F6FF5"/>
    <w:rsid w:val="008F7DCC"/>
    <w:rsid w:val="00900447"/>
    <w:rsid w:val="00902B0E"/>
    <w:rsid w:val="00902C95"/>
    <w:rsid w:val="009034FD"/>
    <w:rsid w:val="00905575"/>
    <w:rsid w:val="009073A5"/>
    <w:rsid w:val="00910DD4"/>
    <w:rsid w:val="009127BA"/>
    <w:rsid w:val="009128B5"/>
    <w:rsid w:val="009132D0"/>
    <w:rsid w:val="0091435F"/>
    <w:rsid w:val="009164CB"/>
    <w:rsid w:val="009176E6"/>
    <w:rsid w:val="009261D6"/>
    <w:rsid w:val="009342AA"/>
    <w:rsid w:val="00941AC3"/>
    <w:rsid w:val="0094203B"/>
    <w:rsid w:val="00942459"/>
    <w:rsid w:val="0094397C"/>
    <w:rsid w:val="00944515"/>
    <w:rsid w:val="00945D5A"/>
    <w:rsid w:val="009472C4"/>
    <w:rsid w:val="009551B7"/>
    <w:rsid w:val="00961E2D"/>
    <w:rsid w:val="00972706"/>
    <w:rsid w:val="00975D64"/>
    <w:rsid w:val="009768EC"/>
    <w:rsid w:val="009770E9"/>
    <w:rsid w:val="0097786A"/>
    <w:rsid w:val="00982E83"/>
    <w:rsid w:val="009856FA"/>
    <w:rsid w:val="009863C4"/>
    <w:rsid w:val="00991118"/>
    <w:rsid w:val="009913AD"/>
    <w:rsid w:val="009A0CDB"/>
    <w:rsid w:val="009A2300"/>
    <w:rsid w:val="009A2AD5"/>
    <w:rsid w:val="009A3B7B"/>
    <w:rsid w:val="009B15BB"/>
    <w:rsid w:val="009B1D5B"/>
    <w:rsid w:val="009B25D1"/>
    <w:rsid w:val="009B4840"/>
    <w:rsid w:val="009B60CE"/>
    <w:rsid w:val="009B7BCB"/>
    <w:rsid w:val="009C3C0E"/>
    <w:rsid w:val="009C5104"/>
    <w:rsid w:val="009C72BC"/>
    <w:rsid w:val="009D001D"/>
    <w:rsid w:val="009D62EB"/>
    <w:rsid w:val="009D76C7"/>
    <w:rsid w:val="009E2A41"/>
    <w:rsid w:val="009F02F6"/>
    <w:rsid w:val="009F4839"/>
    <w:rsid w:val="009F52A6"/>
    <w:rsid w:val="009F782F"/>
    <w:rsid w:val="009F794A"/>
    <w:rsid w:val="00A018F3"/>
    <w:rsid w:val="00A11480"/>
    <w:rsid w:val="00A136DF"/>
    <w:rsid w:val="00A21315"/>
    <w:rsid w:val="00A2154E"/>
    <w:rsid w:val="00A21623"/>
    <w:rsid w:val="00A237CD"/>
    <w:rsid w:val="00A2705C"/>
    <w:rsid w:val="00A30E69"/>
    <w:rsid w:val="00A350BB"/>
    <w:rsid w:val="00A406A1"/>
    <w:rsid w:val="00A47B86"/>
    <w:rsid w:val="00A51521"/>
    <w:rsid w:val="00A57004"/>
    <w:rsid w:val="00A6010A"/>
    <w:rsid w:val="00A653A9"/>
    <w:rsid w:val="00A67184"/>
    <w:rsid w:val="00A67427"/>
    <w:rsid w:val="00A71EE9"/>
    <w:rsid w:val="00A721CE"/>
    <w:rsid w:val="00A74800"/>
    <w:rsid w:val="00A77D0C"/>
    <w:rsid w:val="00A81424"/>
    <w:rsid w:val="00A93CC2"/>
    <w:rsid w:val="00A963FA"/>
    <w:rsid w:val="00A97A3D"/>
    <w:rsid w:val="00AB1911"/>
    <w:rsid w:val="00AB3A16"/>
    <w:rsid w:val="00AB6CE6"/>
    <w:rsid w:val="00AC08E2"/>
    <w:rsid w:val="00AC4933"/>
    <w:rsid w:val="00AC5D59"/>
    <w:rsid w:val="00AC6F52"/>
    <w:rsid w:val="00AD0846"/>
    <w:rsid w:val="00AD1E66"/>
    <w:rsid w:val="00AD2AC9"/>
    <w:rsid w:val="00AD4EC4"/>
    <w:rsid w:val="00AD5F78"/>
    <w:rsid w:val="00AD6F4D"/>
    <w:rsid w:val="00AE260C"/>
    <w:rsid w:val="00AE411A"/>
    <w:rsid w:val="00AE4520"/>
    <w:rsid w:val="00AE4D10"/>
    <w:rsid w:val="00AF0F77"/>
    <w:rsid w:val="00AF5E5B"/>
    <w:rsid w:val="00AF6E5B"/>
    <w:rsid w:val="00AF7FC6"/>
    <w:rsid w:val="00B00382"/>
    <w:rsid w:val="00B04E5E"/>
    <w:rsid w:val="00B120B7"/>
    <w:rsid w:val="00B1262E"/>
    <w:rsid w:val="00B1274F"/>
    <w:rsid w:val="00B1305D"/>
    <w:rsid w:val="00B16BD4"/>
    <w:rsid w:val="00B228D6"/>
    <w:rsid w:val="00B232D0"/>
    <w:rsid w:val="00B246B4"/>
    <w:rsid w:val="00B27CD5"/>
    <w:rsid w:val="00B27EA9"/>
    <w:rsid w:val="00B312C3"/>
    <w:rsid w:val="00B336AC"/>
    <w:rsid w:val="00B41A00"/>
    <w:rsid w:val="00B42CB0"/>
    <w:rsid w:val="00B431FA"/>
    <w:rsid w:val="00B4400C"/>
    <w:rsid w:val="00B45FBA"/>
    <w:rsid w:val="00B5467B"/>
    <w:rsid w:val="00B565A4"/>
    <w:rsid w:val="00B6044A"/>
    <w:rsid w:val="00B618CC"/>
    <w:rsid w:val="00B639D0"/>
    <w:rsid w:val="00B63DB9"/>
    <w:rsid w:val="00B63DEA"/>
    <w:rsid w:val="00B66DED"/>
    <w:rsid w:val="00B70E8C"/>
    <w:rsid w:val="00B734FA"/>
    <w:rsid w:val="00B81C8C"/>
    <w:rsid w:val="00B8212B"/>
    <w:rsid w:val="00B8428E"/>
    <w:rsid w:val="00B844F4"/>
    <w:rsid w:val="00B85539"/>
    <w:rsid w:val="00B873D9"/>
    <w:rsid w:val="00B911BA"/>
    <w:rsid w:val="00B94669"/>
    <w:rsid w:val="00B94CA2"/>
    <w:rsid w:val="00B95C96"/>
    <w:rsid w:val="00B96080"/>
    <w:rsid w:val="00BA2D37"/>
    <w:rsid w:val="00BA3215"/>
    <w:rsid w:val="00BA522E"/>
    <w:rsid w:val="00BA7DF9"/>
    <w:rsid w:val="00BB57D0"/>
    <w:rsid w:val="00BC331E"/>
    <w:rsid w:val="00BC533D"/>
    <w:rsid w:val="00BC5936"/>
    <w:rsid w:val="00BC7558"/>
    <w:rsid w:val="00BD1FB6"/>
    <w:rsid w:val="00BD29CD"/>
    <w:rsid w:val="00BD3F66"/>
    <w:rsid w:val="00BD5F01"/>
    <w:rsid w:val="00BD6F2E"/>
    <w:rsid w:val="00BE0681"/>
    <w:rsid w:val="00BE20C2"/>
    <w:rsid w:val="00BE21E6"/>
    <w:rsid w:val="00BE28C5"/>
    <w:rsid w:val="00BE7ED1"/>
    <w:rsid w:val="00BF11CD"/>
    <w:rsid w:val="00BF3A5B"/>
    <w:rsid w:val="00BF41B4"/>
    <w:rsid w:val="00BF5990"/>
    <w:rsid w:val="00C0318B"/>
    <w:rsid w:val="00C03AA1"/>
    <w:rsid w:val="00C048F1"/>
    <w:rsid w:val="00C06489"/>
    <w:rsid w:val="00C136A7"/>
    <w:rsid w:val="00C229A0"/>
    <w:rsid w:val="00C31603"/>
    <w:rsid w:val="00C333A7"/>
    <w:rsid w:val="00C36488"/>
    <w:rsid w:val="00C37616"/>
    <w:rsid w:val="00C444CF"/>
    <w:rsid w:val="00C45946"/>
    <w:rsid w:val="00C475B6"/>
    <w:rsid w:val="00C503D8"/>
    <w:rsid w:val="00C50C85"/>
    <w:rsid w:val="00C516A9"/>
    <w:rsid w:val="00C539E3"/>
    <w:rsid w:val="00C54D7F"/>
    <w:rsid w:val="00C6139F"/>
    <w:rsid w:val="00C6270C"/>
    <w:rsid w:val="00C63299"/>
    <w:rsid w:val="00C678E8"/>
    <w:rsid w:val="00C7019D"/>
    <w:rsid w:val="00C70CCC"/>
    <w:rsid w:val="00C71448"/>
    <w:rsid w:val="00C716BC"/>
    <w:rsid w:val="00C7349B"/>
    <w:rsid w:val="00C75001"/>
    <w:rsid w:val="00C76689"/>
    <w:rsid w:val="00C77BE2"/>
    <w:rsid w:val="00C806F6"/>
    <w:rsid w:val="00C83C71"/>
    <w:rsid w:val="00C83CA0"/>
    <w:rsid w:val="00C83FFB"/>
    <w:rsid w:val="00C86F0C"/>
    <w:rsid w:val="00C870FC"/>
    <w:rsid w:val="00C90353"/>
    <w:rsid w:val="00C91AFA"/>
    <w:rsid w:val="00C93021"/>
    <w:rsid w:val="00C96D53"/>
    <w:rsid w:val="00CA2910"/>
    <w:rsid w:val="00CA570B"/>
    <w:rsid w:val="00CA59DE"/>
    <w:rsid w:val="00CA7460"/>
    <w:rsid w:val="00CA7779"/>
    <w:rsid w:val="00CA7E07"/>
    <w:rsid w:val="00CB2144"/>
    <w:rsid w:val="00CB48CA"/>
    <w:rsid w:val="00CB4FB3"/>
    <w:rsid w:val="00CB5308"/>
    <w:rsid w:val="00CC45BE"/>
    <w:rsid w:val="00CC578F"/>
    <w:rsid w:val="00CC68D0"/>
    <w:rsid w:val="00CD10FF"/>
    <w:rsid w:val="00CD132D"/>
    <w:rsid w:val="00CD2E08"/>
    <w:rsid w:val="00CD46EE"/>
    <w:rsid w:val="00CE220C"/>
    <w:rsid w:val="00CE32FB"/>
    <w:rsid w:val="00CE5D70"/>
    <w:rsid w:val="00CF1989"/>
    <w:rsid w:val="00CF33DB"/>
    <w:rsid w:val="00CF6AEA"/>
    <w:rsid w:val="00CF715C"/>
    <w:rsid w:val="00CF774C"/>
    <w:rsid w:val="00D03B66"/>
    <w:rsid w:val="00D125A2"/>
    <w:rsid w:val="00D13594"/>
    <w:rsid w:val="00D13E32"/>
    <w:rsid w:val="00D1535E"/>
    <w:rsid w:val="00D17225"/>
    <w:rsid w:val="00D21833"/>
    <w:rsid w:val="00D21BF9"/>
    <w:rsid w:val="00D22E1A"/>
    <w:rsid w:val="00D2375D"/>
    <w:rsid w:val="00D26B55"/>
    <w:rsid w:val="00D27F04"/>
    <w:rsid w:val="00D30FD1"/>
    <w:rsid w:val="00D33FE0"/>
    <w:rsid w:val="00D40E24"/>
    <w:rsid w:val="00D47063"/>
    <w:rsid w:val="00D47236"/>
    <w:rsid w:val="00D50A2E"/>
    <w:rsid w:val="00D60235"/>
    <w:rsid w:val="00D6072A"/>
    <w:rsid w:val="00D70193"/>
    <w:rsid w:val="00D7350E"/>
    <w:rsid w:val="00D75BEB"/>
    <w:rsid w:val="00D762E8"/>
    <w:rsid w:val="00D7713C"/>
    <w:rsid w:val="00D803E7"/>
    <w:rsid w:val="00D90C76"/>
    <w:rsid w:val="00D91F2A"/>
    <w:rsid w:val="00D9214E"/>
    <w:rsid w:val="00D92FA2"/>
    <w:rsid w:val="00DA098B"/>
    <w:rsid w:val="00DA15D4"/>
    <w:rsid w:val="00DA3569"/>
    <w:rsid w:val="00DA42B9"/>
    <w:rsid w:val="00DA7A4E"/>
    <w:rsid w:val="00DB36EE"/>
    <w:rsid w:val="00DB3E6C"/>
    <w:rsid w:val="00DB56E8"/>
    <w:rsid w:val="00DB5D37"/>
    <w:rsid w:val="00DB6AF3"/>
    <w:rsid w:val="00DC1583"/>
    <w:rsid w:val="00DC3BF6"/>
    <w:rsid w:val="00DC65F8"/>
    <w:rsid w:val="00DD24FE"/>
    <w:rsid w:val="00DE26FF"/>
    <w:rsid w:val="00DE39F4"/>
    <w:rsid w:val="00DF06EB"/>
    <w:rsid w:val="00DF1088"/>
    <w:rsid w:val="00DF6E00"/>
    <w:rsid w:val="00E02C6F"/>
    <w:rsid w:val="00E07F2C"/>
    <w:rsid w:val="00E10C1B"/>
    <w:rsid w:val="00E130C4"/>
    <w:rsid w:val="00E16E06"/>
    <w:rsid w:val="00E17B1C"/>
    <w:rsid w:val="00E23101"/>
    <w:rsid w:val="00E2381C"/>
    <w:rsid w:val="00E2580E"/>
    <w:rsid w:val="00E31A01"/>
    <w:rsid w:val="00E32B4F"/>
    <w:rsid w:val="00E40207"/>
    <w:rsid w:val="00E40976"/>
    <w:rsid w:val="00E41948"/>
    <w:rsid w:val="00E42F02"/>
    <w:rsid w:val="00E43FD2"/>
    <w:rsid w:val="00E441ED"/>
    <w:rsid w:val="00E47873"/>
    <w:rsid w:val="00E525B5"/>
    <w:rsid w:val="00E549A6"/>
    <w:rsid w:val="00E554BA"/>
    <w:rsid w:val="00E61160"/>
    <w:rsid w:val="00E62944"/>
    <w:rsid w:val="00E67F89"/>
    <w:rsid w:val="00E73D70"/>
    <w:rsid w:val="00E73EF8"/>
    <w:rsid w:val="00E77561"/>
    <w:rsid w:val="00E77BF0"/>
    <w:rsid w:val="00E900B4"/>
    <w:rsid w:val="00E9066A"/>
    <w:rsid w:val="00E913A7"/>
    <w:rsid w:val="00E9749F"/>
    <w:rsid w:val="00EA0258"/>
    <w:rsid w:val="00EB21EF"/>
    <w:rsid w:val="00EB36A7"/>
    <w:rsid w:val="00EB387F"/>
    <w:rsid w:val="00EB3C8E"/>
    <w:rsid w:val="00EB5491"/>
    <w:rsid w:val="00EB711D"/>
    <w:rsid w:val="00EC3CF6"/>
    <w:rsid w:val="00EC4239"/>
    <w:rsid w:val="00EC4ED9"/>
    <w:rsid w:val="00EC5ADC"/>
    <w:rsid w:val="00ED2398"/>
    <w:rsid w:val="00ED2DBB"/>
    <w:rsid w:val="00ED5DD2"/>
    <w:rsid w:val="00ED6CAB"/>
    <w:rsid w:val="00EE02C9"/>
    <w:rsid w:val="00EE345F"/>
    <w:rsid w:val="00EE582D"/>
    <w:rsid w:val="00EE6ACF"/>
    <w:rsid w:val="00EE6D70"/>
    <w:rsid w:val="00EE791E"/>
    <w:rsid w:val="00EE7CD9"/>
    <w:rsid w:val="00EF3407"/>
    <w:rsid w:val="00EF5D99"/>
    <w:rsid w:val="00F00216"/>
    <w:rsid w:val="00F04BFB"/>
    <w:rsid w:val="00F06853"/>
    <w:rsid w:val="00F073C7"/>
    <w:rsid w:val="00F07A5F"/>
    <w:rsid w:val="00F11378"/>
    <w:rsid w:val="00F115D0"/>
    <w:rsid w:val="00F12432"/>
    <w:rsid w:val="00F13365"/>
    <w:rsid w:val="00F14483"/>
    <w:rsid w:val="00F1472D"/>
    <w:rsid w:val="00F1580F"/>
    <w:rsid w:val="00F15BA1"/>
    <w:rsid w:val="00F200D1"/>
    <w:rsid w:val="00F227CB"/>
    <w:rsid w:val="00F31AB6"/>
    <w:rsid w:val="00F355F3"/>
    <w:rsid w:val="00F5109E"/>
    <w:rsid w:val="00F54689"/>
    <w:rsid w:val="00F56390"/>
    <w:rsid w:val="00F56995"/>
    <w:rsid w:val="00F56CB4"/>
    <w:rsid w:val="00F577E8"/>
    <w:rsid w:val="00F618A2"/>
    <w:rsid w:val="00F61FA8"/>
    <w:rsid w:val="00F62EDE"/>
    <w:rsid w:val="00F64E76"/>
    <w:rsid w:val="00F6548A"/>
    <w:rsid w:val="00F65503"/>
    <w:rsid w:val="00F679FD"/>
    <w:rsid w:val="00F71EE8"/>
    <w:rsid w:val="00F75217"/>
    <w:rsid w:val="00F75B18"/>
    <w:rsid w:val="00F76CF7"/>
    <w:rsid w:val="00F7784A"/>
    <w:rsid w:val="00F820C7"/>
    <w:rsid w:val="00F83A05"/>
    <w:rsid w:val="00F8417F"/>
    <w:rsid w:val="00F848D9"/>
    <w:rsid w:val="00F85059"/>
    <w:rsid w:val="00F860B4"/>
    <w:rsid w:val="00F8692E"/>
    <w:rsid w:val="00F91DD0"/>
    <w:rsid w:val="00F93456"/>
    <w:rsid w:val="00F94231"/>
    <w:rsid w:val="00F96BE7"/>
    <w:rsid w:val="00FA4C67"/>
    <w:rsid w:val="00FA6385"/>
    <w:rsid w:val="00FA69C6"/>
    <w:rsid w:val="00FB10E8"/>
    <w:rsid w:val="00FB44F5"/>
    <w:rsid w:val="00FB560D"/>
    <w:rsid w:val="00FB5F61"/>
    <w:rsid w:val="00FB7481"/>
    <w:rsid w:val="00FB7D43"/>
    <w:rsid w:val="00FC2046"/>
    <w:rsid w:val="00FC297E"/>
    <w:rsid w:val="00FC5444"/>
    <w:rsid w:val="00FC6A30"/>
    <w:rsid w:val="00FC740A"/>
    <w:rsid w:val="00FC7B3D"/>
    <w:rsid w:val="00FD304D"/>
    <w:rsid w:val="00FD401E"/>
    <w:rsid w:val="00FD4410"/>
    <w:rsid w:val="00FD6EFC"/>
    <w:rsid w:val="00FE1ACE"/>
    <w:rsid w:val="00FE2EB1"/>
    <w:rsid w:val="00FE4AB2"/>
    <w:rsid w:val="00FE4EF6"/>
    <w:rsid w:val="00FE79F7"/>
    <w:rsid w:val="00FF1A36"/>
    <w:rsid w:val="00FF1A4D"/>
    <w:rsid w:val="00FF5B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AB02E3"/>
  <w15:docId w15:val="{EFFDC1D6-2018-4BDC-9932-F3CC393E5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13F62"/>
    <w:pPr>
      <w:jc w:val="both"/>
    </w:pPr>
    <w:rPr>
      <w:sz w:val="24"/>
    </w:rPr>
  </w:style>
  <w:style w:type="paragraph" w:styleId="Titolo1">
    <w:name w:val="heading 1"/>
    <w:aliases w:val="Titolo capitolo"/>
    <w:basedOn w:val="Normale"/>
    <w:next w:val="Normale"/>
    <w:qFormat/>
    <w:rsid w:val="000601CF"/>
    <w:pPr>
      <w:keepNext/>
      <w:jc w:val="center"/>
      <w:outlineLvl w:val="0"/>
    </w:pPr>
    <w:rPr>
      <w:b/>
    </w:rPr>
  </w:style>
  <w:style w:type="paragraph" w:styleId="Titolo2">
    <w:name w:val="heading 2"/>
    <w:basedOn w:val="Normale"/>
    <w:next w:val="Normale"/>
    <w:qFormat/>
    <w:rsid w:val="000601CF"/>
    <w:pPr>
      <w:keepNext/>
      <w:outlineLvl w:val="1"/>
    </w:pPr>
    <w:rPr>
      <w:b/>
    </w:rPr>
  </w:style>
  <w:style w:type="paragraph" w:styleId="Titolo3">
    <w:name w:val="heading 3"/>
    <w:basedOn w:val="Normale"/>
    <w:next w:val="Normale"/>
    <w:qFormat/>
    <w:rsid w:val="000601CF"/>
    <w:pPr>
      <w:keepNext/>
      <w:outlineLvl w:val="2"/>
    </w:pPr>
    <w:rPr>
      <w:b/>
      <w:sz w:val="22"/>
    </w:rPr>
  </w:style>
  <w:style w:type="paragraph" w:styleId="Titolo4">
    <w:name w:val="heading 4"/>
    <w:basedOn w:val="Normale"/>
    <w:next w:val="Normale"/>
    <w:link w:val="Titolo4Carattere"/>
    <w:qFormat/>
    <w:rsid w:val="000601CF"/>
    <w:pPr>
      <w:keepNext/>
      <w:outlineLvl w:val="3"/>
    </w:pPr>
    <w:rPr>
      <w:rFonts w:ascii="Verdana" w:hAnsi="Verdana"/>
      <w:b/>
      <w:sz w:val="20"/>
    </w:rPr>
  </w:style>
  <w:style w:type="paragraph" w:styleId="Titolo5">
    <w:name w:val="heading 5"/>
    <w:basedOn w:val="Normale"/>
    <w:next w:val="Normale"/>
    <w:link w:val="Titolo5Carattere"/>
    <w:qFormat/>
    <w:rsid w:val="000601CF"/>
    <w:pPr>
      <w:keepNext/>
      <w:jc w:val="center"/>
      <w:outlineLvl w:val="4"/>
    </w:pPr>
    <w:rPr>
      <w:sz w:val="28"/>
    </w:rPr>
  </w:style>
  <w:style w:type="paragraph" w:styleId="Titolo6">
    <w:name w:val="heading 6"/>
    <w:basedOn w:val="Normale"/>
    <w:next w:val="Normale"/>
    <w:link w:val="Titolo6Carattere"/>
    <w:qFormat/>
    <w:rsid w:val="000601CF"/>
    <w:pPr>
      <w:keepNext/>
      <w:jc w:val="left"/>
      <w:outlineLvl w:val="5"/>
    </w:pPr>
    <w:rPr>
      <w:rFonts w:ascii="Arial" w:hAnsi="Arial"/>
      <w:b/>
      <w:snapToGrid w:val="0"/>
      <w:color w:val="000000"/>
      <w:sz w:val="18"/>
    </w:rPr>
  </w:style>
  <w:style w:type="paragraph" w:styleId="Titolo7">
    <w:name w:val="heading 7"/>
    <w:basedOn w:val="Normale"/>
    <w:next w:val="Normale"/>
    <w:qFormat/>
    <w:rsid w:val="000601CF"/>
    <w:pPr>
      <w:keepNext/>
      <w:outlineLvl w:val="6"/>
    </w:pPr>
    <w:rPr>
      <w:rFonts w:ascii="Arial" w:hAnsi="Arial"/>
      <w:b/>
      <w:sz w:val="18"/>
    </w:rPr>
  </w:style>
  <w:style w:type="paragraph" w:styleId="Titolo8">
    <w:name w:val="heading 8"/>
    <w:basedOn w:val="Normale"/>
    <w:next w:val="Normale"/>
    <w:qFormat/>
    <w:rsid w:val="000601CF"/>
    <w:pPr>
      <w:keepNext/>
      <w:ind w:right="-1"/>
      <w:jc w:val="center"/>
      <w:outlineLvl w:val="7"/>
    </w:pPr>
    <w:rPr>
      <w:rFonts w:ascii="MyriadPro-It" w:hAnsi="MyriadPro-It"/>
      <w:snapToGrid w:val="0"/>
      <w:sz w:val="36"/>
    </w:rPr>
  </w:style>
  <w:style w:type="paragraph" w:styleId="Titolo9">
    <w:name w:val="heading 9"/>
    <w:basedOn w:val="Normale"/>
    <w:next w:val="Normale"/>
    <w:qFormat/>
    <w:rsid w:val="000601CF"/>
    <w:pPr>
      <w:keepNext/>
      <w:ind w:right="-1"/>
      <w:jc w:val="center"/>
      <w:outlineLvl w:val="8"/>
    </w:pPr>
    <w:rPr>
      <w:rFonts w:ascii="Arial" w:hAnsi="Arial"/>
      <w:b/>
      <w:snapToGrid w:val="0"/>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link w:val="Titolo4"/>
    <w:rsid w:val="00B844F4"/>
    <w:rPr>
      <w:rFonts w:ascii="Verdana" w:hAnsi="Verdana"/>
      <w:b/>
    </w:rPr>
  </w:style>
  <w:style w:type="character" w:customStyle="1" w:styleId="Titolo5Carattere">
    <w:name w:val="Titolo 5 Carattere"/>
    <w:link w:val="Titolo5"/>
    <w:rsid w:val="00B844F4"/>
    <w:rPr>
      <w:sz w:val="28"/>
    </w:rPr>
  </w:style>
  <w:style w:type="character" w:customStyle="1" w:styleId="Titolo6Carattere">
    <w:name w:val="Titolo 6 Carattere"/>
    <w:link w:val="Titolo6"/>
    <w:rsid w:val="00B844F4"/>
    <w:rPr>
      <w:rFonts w:ascii="Arial" w:hAnsi="Arial"/>
      <w:b/>
      <w:snapToGrid w:val="0"/>
      <w:color w:val="000000"/>
      <w:sz w:val="18"/>
    </w:rPr>
  </w:style>
  <w:style w:type="paragraph" w:styleId="Corpotesto">
    <w:name w:val="Body Text"/>
    <w:aliases w:val="Text,bt,BODY TEXT,body text,t,Block text,heading_txt,bodytxy2,Para,EHPT,Body Text2,bt1,bodytext,BT,txt1,T1,Title 1,EDStext,sp,bullet title,sbs,block text,Resume Text,bt4,body text4,bt5,body text5,body text1,tx,text,Justified,pp,RFP Text"/>
    <w:basedOn w:val="Normale"/>
    <w:semiHidden/>
    <w:rsid w:val="000601CF"/>
    <w:rPr>
      <w:sz w:val="28"/>
    </w:rPr>
  </w:style>
  <w:style w:type="paragraph" w:styleId="Corpodeltesto2">
    <w:name w:val="Body Text 2"/>
    <w:basedOn w:val="Normale"/>
    <w:semiHidden/>
    <w:rsid w:val="000601CF"/>
    <w:rPr>
      <w:sz w:val="26"/>
    </w:rPr>
  </w:style>
  <w:style w:type="paragraph" w:styleId="Titolo">
    <w:name w:val="Title"/>
    <w:basedOn w:val="Normale"/>
    <w:qFormat/>
    <w:rsid w:val="000601CF"/>
    <w:pPr>
      <w:jc w:val="center"/>
    </w:pPr>
    <w:rPr>
      <w:i/>
      <w:sz w:val="26"/>
    </w:rPr>
  </w:style>
  <w:style w:type="paragraph" w:styleId="Sottotitolo">
    <w:name w:val="Subtitle"/>
    <w:basedOn w:val="Normale"/>
    <w:qFormat/>
    <w:rsid w:val="000601CF"/>
    <w:pPr>
      <w:jc w:val="center"/>
    </w:pPr>
    <w:rPr>
      <w:b/>
      <w:sz w:val="32"/>
    </w:rPr>
  </w:style>
  <w:style w:type="character" w:styleId="Collegamentoipertestuale">
    <w:name w:val="Hyperlink"/>
    <w:uiPriority w:val="99"/>
    <w:rsid w:val="000601CF"/>
    <w:rPr>
      <w:color w:val="0000FF"/>
      <w:u w:val="single"/>
    </w:rPr>
  </w:style>
  <w:style w:type="paragraph" w:styleId="Mappadocumento">
    <w:name w:val="Document Map"/>
    <w:basedOn w:val="Normale"/>
    <w:semiHidden/>
    <w:rsid w:val="000601CF"/>
    <w:pPr>
      <w:shd w:val="clear" w:color="auto" w:fill="000080"/>
    </w:pPr>
    <w:rPr>
      <w:rFonts w:ascii="Tahoma" w:hAnsi="Tahoma"/>
    </w:rPr>
  </w:style>
  <w:style w:type="paragraph" w:styleId="Intestazione">
    <w:name w:val="header"/>
    <w:basedOn w:val="Normale"/>
    <w:link w:val="IntestazioneCarattere"/>
    <w:uiPriority w:val="99"/>
    <w:rsid w:val="000601CF"/>
    <w:pPr>
      <w:tabs>
        <w:tab w:val="center" w:pos="4819"/>
        <w:tab w:val="right" w:pos="9638"/>
      </w:tabs>
    </w:pPr>
  </w:style>
  <w:style w:type="paragraph" w:styleId="Pidipagina">
    <w:name w:val="footer"/>
    <w:basedOn w:val="Normale"/>
    <w:link w:val="PidipaginaCarattere"/>
    <w:uiPriority w:val="99"/>
    <w:rsid w:val="000601CF"/>
    <w:pPr>
      <w:tabs>
        <w:tab w:val="center" w:pos="4819"/>
        <w:tab w:val="right" w:pos="9638"/>
      </w:tabs>
    </w:pPr>
  </w:style>
  <w:style w:type="paragraph" w:styleId="Corpodeltesto3">
    <w:name w:val="Body Text 3"/>
    <w:basedOn w:val="Normale"/>
    <w:semiHidden/>
    <w:rsid w:val="000601CF"/>
    <w:rPr>
      <w:i/>
    </w:rPr>
  </w:style>
  <w:style w:type="paragraph" w:customStyle="1" w:styleId="S2">
    <w:name w:val="S2"/>
    <w:basedOn w:val="Normale"/>
    <w:autoRedefine/>
    <w:rsid w:val="000601CF"/>
    <w:pPr>
      <w:numPr>
        <w:ilvl w:val="1"/>
        <w:numId w:val="1"/>
      </w:numPr>
      <w:jc w:val="left"/>
      <w:outlineLvl w:val="0"/>
    </w:pPr>
    <w:rPr>
      <w:rFonts w:ascii="Tempus Sans ITC" w:hAnsi="Tempus Sans ITC"/>
      <w:b/>
      <w:sz w:val="26"/>
    </w:rPr>
  </w:style>
  <w:style w:type="paragraph" w:styleId="Testonotaapidipagina">
    <w:name w:val="footnote text"/>
    <w:aliases w:val="Footnote,Footnote1,Footnote2,Footnote3,Footnote4,Footnote5,Footnote6,Footnote7,Footnote8,Footnote9,Footnote10,Footnote11,Footnote21,Footnote31,Footnote41,Footnote51,Footnote61,Footnote71,Footnote81,Footnote91,Footnote12"/>
    <w:basedOn w:val="Normale"/>
    <w:link w:val="TestonotaapidipaginaCarattere"/>
    <w:uiPriority w:val="99"/>
    <w:rsid w:val="000601CF"/>
    <w:pPr>
      <w:jc w:val="left"/>
    </w:pPr>
    <w:rPr>
      <w:sz w:val="20"/>
    </w:rPr>
  </w:style>
  <w:style w:type="character" w:styleId="Rimandonotaapidipagina">
    <w:name w:val="footnote reference"/>
    <w:uiPriority w:val="99"/>
    <w:semiHidden/>
    <w:rsid w:val="000601CF"/>
    <w:rPr>
      <w:vertAlign w:val="superscript"/>
    </w:rPr>
  </w:style>
  <w:style w:type="paragraph" w:styleId="Testodelblocco">
    <w:name w:val="Block Text"/>
    <w:basedOn w:val="Normale"/>
    <w:semiHidden/>
    <w:rsid w:val="000601CF"/>
    <w:pPr>
      <w:ind w:left="-284" w:right="-285"/>
      <w:jc w:val="center"/>
    </w:pPr>
    <w:rPr>
      <w:rFonts w:ascii="Verdana" w:hAnsi="Verdana"/>
      <w:b/>
      <w:sz w:val="32"/>
    </w:rPr>
  </w:style>
  <w:style w:type="paragraph" w:customStyle="1" w:styleId="Tabella">
    <w:name w:val="Tabella"/>
    <w:basedOn w:val="Titolo2"/>
    <w:rsid w:val="000601CF"/>
    <w:pPr>
      <w:spacing w:before="120" w:after="60"/>
    </w:pPr>
    <w:rPr>
      <w:b w:val="0"/>
      <w:i/>
    </w:rPr>
  </w:style>
  <w:style w:type="paragraph" w:customStyle="1" w:styleId="xl41">
    <w:name w:val="xl41"/>
    <w:basedOn w:val="Normale"/>
    <w:rsid w:val="000601CF"/>
    <w:pPr>
      <w:spacing w:before="100" w:after="100"/>
    </w:pPr>
    <w:rPr>
      <w:rFonts w:eastAsia="Arial Unicode MS"/>
    </w:rPr>
  </w:style>
  <w:style w:type="paragraph" w:styleId="Didascalia">
    <w:name w:val="caption"/>
    <w:basedOn w:val="Normale"/>
    <w:next w:val="Normale"/>
    <w:qFormat/>
    <w:rsid w:val="000601CF"/>
    <w:pPr>
      <w:spacing w:after="240"/>
    </w:pPr>
    <w:rPr>
      <w:i/>
      <w:sz w:val="20"/>
    </w:rPr>
  </w:style>
  <w:style w:type="paragraph" w:customStyle="1" w:styleId="Fonte">
    <w:name w:val="Fonte"/>
    <w:basedOn w:val="Didascalia"/>
    <w:rsid w:val="000601CF"/>
    <w:pPr>
      <w:spacing w:after="0"/>
    </w:pPr>
    <w:rPr>
      <w:i w:val="0"/>
      <w:sz w:val="18"/>
    </w:rPr>
  </w:style>
  <w:style w:type="paragraph" w:customStyle="1" w:styleId="Stile1">
    <w:name w:val="Stile1"/>
    <w:basedOn w:val="Normale"/>
    <w:rsid w:val="000601CF"/>
    <w:pPr>
      <w:spacing w:after="240"/>
    </w:pPr>
    <w:rPr>
      <w:rFonts w:ascii="Courier New" w:hAnsi="Courier New"/>
      <w:sz w:val="20"/>
    </w:rPr>
  </w:style>
  <w:style w:type="paragraph" w:styleId="Sommario4">
    <w:name w:val="toc 4"/>
    <w:basedOn w:val="Normale"/>
    <w:next w:val="Normale"/>
    <w:autoRedefine/>
    <w:semiHidden/>
    <w:rsid w:val="000601CF"/>
    <w:pPr>
      <w:spacing w:after="240"/>
      <w:ind w:left="720"/>
    </w:pPr>
  </w:style>
  <w:style w:type="paragraph" w:styleId="Sommario6">
    <w:name w:val="toc 6"/>
    <w:basedOn w:val="Normale"/>
    <w:next w:val="Normale"/>
    <w:autoRedefine/>
    <w:semiHidden/>
    <w:rsid w:val="000601CF"/>
    <w:pPr>
      <w:spacing w:after="240"/>
      <w:ind w:left="1200"/>
    </w:pPr>
  </w:style>
  <w:style w:type="paragraph" w:styleId="Sommario3">
    <w:name w:val="toc 3"/>
    <w:basedOn w:val="Normale"/>
    <w:next w:val="Normale"/>
    <w:autoRedefine/>
    <w:semiHidden/>
    <w:rsid w:val="000601CF"/>
    <w:pPr>
      <w:spacing w:after="240"/>
      <w:ind w:left="480"/>
    </w:pPr>
  </w:style>
  <w:style w:type="paragraph" w:customStyle="1" w:styleId="StileStileStileTitolo114pt12pt">
    <w:name w:val="Stile Stile Stile Titolo 1 + + 14 pt + 12 pt"/>
    <w:basedOn w:val="Normale"/>
    <w:autoRedefine/>
    <w:rsid w:val="00B844F4"/>
    <w:pPr>
      <w:keepNext/>
      <w:spacing w:line="360" w:lineRule="auto"/>
      <w:ind w:firstLine="708"/>
      <w:outlineLvl w:val="0"/>
    </w:pPr>
    <w:rPr>
      <w:rFonts w:ascii="Tahoma" w:hAnsi="Tahoma"/>
      <w:sz w:val="28"/>
      <w:szCs w:val="24"/>
    </w:rPr>
  </w:style>
  <w:style w:type="character" w:customStyle="1" w:styleId="RientrocorpodeltestoCarattere">
    <w:name w:val="Rientro corpo del testo Carattere"/>
    <w:link w:val="Rientrocorpodeltesto"/>
    <w:semiHidden/>
    <w:rsid w:val="00B844F4"/>
    <w:rPr>
      <w:sz w:val="24"/>
      <w:szCs w:val="24"/>
    </w:rPr>
  </w:style>
  <w:style w:type="paragraph" w:styleId="Rientrocorpodeltesto">
    <w:name w:val="Body Text Indent"/>
    <w:basedOn w:val="Normale"/>
    <w:link w:val="RientrocorpodeltestoCarattere"/>
    <w:semiHidden/>
    <w:rsid w:val="00B844F4"/>
    <w:pPr>
      <w:ind w:left="708"/>
    </w:pPr>
    <w:rPr>
      <w:szCs w:val="24"/>
    </w:rPr>
  </w:style>
  <w:style w:type="character" w:customStyle="1" w:styleId="Rientrocorpodeltesto2Carattere">
    <w:name w:val="Rientro corpo del testo 2 Carattere"/>
    <w:link w:val="Rientrocorpodeltesto2"/>
    <w:semiHidden/>
    <w:rsid w:val="00B844F4"/>
    <w:rPr>
      <w:rFonts w:ascii="Tahoma" w:hAnsi="Tahoma"/>
      <w:b/>
      <w:sz w:val="32"/>
      <w:szCs w:val="24"/>
    </w:rPr>
  </w:style>
  <w:style w:type="paragraph" w:styleId="Rientrocorpodeltesto2">
    <w:name w:val="Body Text Indent 2"/>
    <w:basedOn w:val="Normale"/>
    <w:link w:val="Rientrocorpodeltesto2Carattere"/>
    <w:semiHidden/>
    <w:rsid w:val="00B844F4"/>
    <w:pPr>
      <w:widowControl w:val="0"/>
      <w:spacing w:line="360" w:lineRule="auto"/>
      <w:ind w:left="-840"/>
      <w:jc w:val="left"/>
    </w:pPr>
    <w:rPr>
      <w:rFonts w:ascii="Tahoma" w:hAnsi="Tahoma"/>
      <w:b/>
      <w:sz w:val="32"/>
      <w:szCs w:val="24"/>
    </w:rPr>
  </w:style>
  <w:style w:type="character" w:customStyle="1" w:styleId="Rientrocorpodeltesto3Carattere">
    <w:name w:val="Rientro corpo del testo 3 Carattere"/>
    <w:link w:val="Rientrocorpodeltesto3"/>
    <w:semiHidden/>
    <w:rsid w:val="00B844F4"/>
    <w:rPr>
      <w:rFonts w:ascii="Tahoma" w:hAnsi="Tahoma"/>
      <w:sz w:val="28"/>
      <w:szCs w:val="24"/>
    </w:rPr>
  </w:style>
  <w:style w:type="paragraph" w:styleId="Rientrocorpodeltesto3">
    <w:name w:val="Body Text Indent 3"/>
    <w:basedOn w:val="Normale"/>
    <w:link w:val="Rientrocorpodeltesto3Carattere"/>
    <w:semiHidden/>
    <w:rsid w:val="00B844F4"/>
    <w:pPr>
      <w:ind w:left="708"/>
      <w:jc w:val="left"/>
    </w:pPr>
    <w:rPr>
      <w:rFonts w:ascii="Tahoma" w:hAnsi="Tahoma"/>
      <w:sz w:val="28"/>
      <w:szCs w:val="24"/>
    </w:rPr>
  </w:style>
  <w:style w:type="paragraph" w:customStyle="1" w:styleId="Rientrolettere">
    <w:name w:val="Rientro lettere"/>
    <w:basedOn w:val="Normale"/>
    <w:rsid w:val="00B844F4"/>
    <w:pPr>
      <w:numPr>
        <w:numId w:val="2"/>
      </w:numPr>
      <w:jc w:val="left"/>
    </w:pPr>
    <w:rPr>
      <w:sz w:val="20"/>
      <w:szCs w:val="24"/>
    </w:rPr>
  </w:style>
  <w:style w:type="paragraph" w:styleId="Paragrafoelenco">
    <w:name w:val="List Paragraph"/>
    <w:basedOn w:val="Normale"/>
    <w:qFormat/>
    <w:rsid w:val="00B844F4"/>
    <w:pPr>
      <w:spacing w:after="200" w:line="276" w:lineRule="auto"/>
      <w:ind w:left="720"/>
      <w:jc w:val="left"/>
    </w:pPr>
    <w:rPr>
      <w:rFonts w:ascii="Calibri" w:eastAsia="Calibri" w:hAnsi="Calibri"/>
      <w:sz w:val="22"/>
      <w:szCs w:val="24"/>
    </w:rPr>
  </w:style>
  <w:style w:type="character" w:customStyle="1" w:styleId="TestofumettoCarattere">
    <w:name w:val="Testo fumetto Carattere"/>
    <w:link w:val="Testofumetto"/>
    <w:uiPriority w:val="99"/>
    <w:semiHidden/>
    <w:rsid w:val="00B844F4"/>
    <w:rPr>
      <w:rFonts w:ascii="Tahoma" w:hAnsi="Tahoma"/>
      <w:sz w:val="16"/>
      <w:szCs w:val="16"/>
    </w:rPr>
  </w:style>
  <w:style w:type="paragraph" w:styleId="Testofumetto">
    <w:name w:val="Balloon Text"/>
    <w:basedOn w:val="Normale"/>
    <w:link w:val="TestofumettoCarattere"/>
    <w:uiPriority w:val="99"/>
    <w:semiHidden/>
    <w:unhideWhenUsed/>
    <w:rsid w:val="00B844F4"/>
    <w:pPr>
      <w:jc w:val="left"/>
    </w:pPr>
    <w:rPr>
      <w:rFonts w:ascii="Tahoma" w:hAnsi="Tahoma"/>
      <w:sz w:val="16"/>
      <w:szCs w:val="16"/>
    </w:rPr>
  </w:style>
  <w:style w:type="character" w:customStyle="1" w:styleId="style132">
    <w:name w:val="style132"/>
    <w:rsid w:val="00B844F4"/>
  </w:style>
  <w:style w:type="paragraph" w:styleId="NormaleWeb">
    <w:name w:val="Normal (Web)"/>
    <w:basedOn w:val="Normale"/>
    <w:uiPriority w:val="99"/>
    <w:semiHidden/>
    <w:unhideWhenUsed/>
    <w:rsid w:val="00B844F4"/>
    <w:pPr>
      <w:spacing w:before="100" w:beforeAutospacing="1" w:after="100" w:afterAutospacing="1"/>
      <w:jc w:val="left"/>
    </w:pPr>
    <w:rPr>
      <w:szCs w:val="24"/>
    </w:rPr>
  </w:style>
  <w:style w:type="character" w:styleId="Enfasigrassetto">
    <w:name w:val="Strong"/>
    <w:uiPriority w:val="22"/>
    <w:qFormat/>
    <w:rsid w:val="00B844F4"/>
    <w:rPr>
      <w:b/>
      <w:bCs/>
    </w:rPr>
  </w:style>
  <w:style w:type="table" w:styleId="Grigliatabella">
    <w:name w:val="Table Grid"/>
    <w:basedOn w:val="Tabellanormale"/>
    <w:uiPriority w:val="59"/>
    <w:rsid w:val="008E7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onotaapidipaginaCarattere">
    <w:name w:val="Testo nota a piè di pagina Carattere"/>
    <w:aliases w:val="Footnote Carattere,Footnote1 Carattere,Footnote2 Carattere,Footnote3 Carattere,Footnote4 Carattere,Footnote5 Carattere,Footnote6 Carattere,Footnote7 Carattere,Footnote8 Carattere,Footnote9 Carattere"/>
    <w:link w:val="Testonotaapidipagina"/>
    <w:uiPriority w:val="99"/>
    <w:rsid w:val="00991118"/>
  </w:style>
  <w:style w:type="character" w:customStyle="1" w:styleId="tabitem">
    <w:name w:val="tab item"/>
    <w:rsid w:val="00991118"/>
    <w:rPr>
      <w:rFonts w:ascii="Courier New" w:hAnsi="Courier New" w:cs="Courier New"/>
    </w:rPr>
  </w:style>
  <w:style w:type="paragraph" w:customStyle="1" w:styleId="IsnartTabitem">
    <w:name w:val="Isnart Tab item"/>
    <w:basedOn w:val="Normale"/>
    <w:rsid w:val="00991118"/>
    <w:pPr>
      <w:spacing w:before="60" w:after="60"/>
      <w:jc w:val="left"/>
    </w:pPr>
    <w:rPr>
      <w:rFonts w:ascii="Arial Narrow" w:hAnsi="Arial Narrow"/>
      <w:color w:val="000000"/>
    </w:rPr>
  </w:style>
  <w:style w:type="character" w:customStyle="1" w:styleId="IntestazioneCarattere">
    <w:name w:val="Intestazione Carattere"/>
    <w:link w:val="Intestazione"/>
    <w:uiPriority w:val="99"/>
    <w:rsid w:val="0014309F"/>
    <w:rPr>
      <w:sz w:val="24"/>
    </w:rPr>
  </w:style>
  <w:style w:type="character" w:customStyle="1" w:styleId="PidipaginaCarattere">
    <w:name w:val="Piè di pagina Carattere"/>
    <w:link w:val="Pidipagina"/>
    <w:uiPriority w:val="99"/>
    <w:rsid w:val="0014309F"/>
    <w:rPr>
      <w:sz w:val="24"/>
    </w:rPr>
  </w:style>
  <w:style w:type="character" w:styleId="Numeropagina">
    <w:name w:val="page number"/>
    <w:basedOn w:val="Carpredefinitoparagrafo"/>
    <w:uiPriority w:val="99"/>
    <w:rsid w:val="008E0687"/>
  </w:style>
  <w:style w:type="paragraph" w:customStyle="1" w:styleId="Default">
    <w:name w:val="Default"/>
    <w:rsid w:val="004F7FCF"/>
    <w:pPr>
      <w:autoSpaceDE w:val="0"/>
      <w:autoSpaceDN w:val="0"/>
      <w:adjustRightInd w:val="0"/>
    </w:pPr>
    <w:rPr>
      <w:rFonts w:ascii="Century Gothic" w:hAnsi="Century Gothic" w:cs="Century Gothic"/>
      <w:color w:val="000000"/>
      <w:sz w:val="24"/>
      <w:szCs w:val="24"/>
    </w:rPr>
  </w:style>
  <w:style w:type="character" w:styleId="Rimandocommento">
    <w:name w:val="annotation reference"/>
    <w:basedOn w:val="Carpredefinitoparagrafo"/>
    <w:uiPriority w:val="99"/>
    <w:semiHidden/>
    <w:unhideWhenUsed/>
    <w:rsid w:val="00E900B4"/>
    <w:rPr>
      <w:sz w:val="16"/>
      <w:szCs w:val="16"/>
    </w:rPr>
  </w:style>
  <w:style w:type="paragraph" w:styleId="Testocommento">
    <w:name w:val="annotation text"/>
    <w:basedOn w:val="Normale"/>
    <w:link w:val="TestocommentoCarattere"/>
    <w:uiPriority w:val="99"/>
    <w:semiHidden/>
    <w:unhideWhenUsed/>
    <w:rsid w:val="00E900B4"/>
    <w:rPr>
      <w:sz w:val="20"/>
    </w:rPr>
  </w:style>
  <w:style w:type="character" w:customStyle="1" w:styleId="TestocommentoCarattere">
    <w:name w:val="Testo commento Carattere"/>
    <w:basedOn w:val="Carpredefinitoparagrafo"/>
    <w:link w:val="Testocommento"/>
    <w:uiPriority w:val="99"/>
    <w:semiHidden/>
    <w:rsid w:val="00E900B4"/>
  </w:style>
  <w:style w:type="paragraph" w:styleId="Soggettocommento">
    <w:name w:val="annotation subject"/>
    <w:basedOn w:val="Testocommento"/>
    <w:next w:val="Testocommento"/>
    <w:link w:val="SoggettocommentoCarattere"/>
    <w:uiPriority w:val="99"/>
    <w:semiHidden/>
    <w:unhideWhenUsed/>
    <w:rsid w:val="00E900B4"/>
    <w:rPr>
      <w:b/>
      <w:bCs/>
    </w:rPr>
  </w:style>
  <w:style w:type="character" w:customStyle="1" w:styleId="SoggettocommentoCarattere">
    <w:name w:val="Soggetto commento Carattere"/>
    <w:basedOn w:val="TestocommentoCarattere"/>
    <w:link w:val="Soggettocommento"/>
    <w:uiPriority w:val="99"/>
    <w:semiHidden/>
    <w:rsid w:val="00E900B4"/>
    <w:rPr>
      <w:b/>
      <w:bCs/>
    </w:rPr>
  </w:style>
  <w:style w:type="paragraph" w:styleId="Revisione">
    <w:name w:val="Revision"/>
    <w:hidden/>
    <w:uiPriority w:val="99"/>
    <w:semiHidden/>
    <w:rsid w:val="00E900B4"/>
    <w:rPr>
      <w:sz w:val="24"/>
    </w:rPr>
  </w:style>
  <w:style w:type="character" w:customStyle="1" w:styleId="Menzionenonrisolta1">
    <w:name w:val="Menzione non risolta1"/>
    <w:basedOn w:val="Carpredefinitoparagrafo"/>
    <w:uiPriority w:val="99"/>
    <w:semiHidden/>
    <w:unhideWhenUsed/>
    <w:rsid w:val="004E39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9196">
      <w:bodyDiv w:val="1"/>
      <w:marLeft w:val="0"/>
      <w:marRight w:val="0"/>
      <w:marTop w:val="0"/>
      <w:marBottom w:val="0"/>
      <w:divBdr>
        <w:top w:val="none" w:sz="0" w:space="0" w:color="auto"/>
        <w:left w:val="none" w:sz="0" w:space="0" w:color="auto"/>
        <w:bottom w:val="none" w:sz="0" w:space="0" w:color="auto"/>
        <w:right w:val="none" w:sz="0" w:space="0" w:color="auto"/>
      </w:divBdr>
    </w:div>
    <w:div w:id="28838780">
      <w:bodyDiv w:val="1"/>
      <w:marLeft w:val="0"/>
      <w:marRight w:val="0"/>
      <w:marTop w:val="0"/>
      <w:marBottom w:val="0"/>
      <w:divBdr>
        <w:top w:val="none" w:sz="0" w:space="0" w:color="auto"/>
        <w:left w:val="none" w:sz="0" w:space="0" w:color="auto"/>
        <w:bottom w:val="none" w:sz="0" w:space="0" w:color="auto"/>
        <w:right w:val="none" w:sz="0" w:space="0" w:color="auto"/>
      </w:divBdr>
    </w:div>
    <w:div w:id="93982762">
      <w:bodyDiv w:val="1"/>
      <w:marLeft w:val="0"/>
      <w:marRight w:val="0"/>
      <w:marTop w:val="0"/>
      <w:marBottom w:val="0"/>
      <w:divBdr>
        <w:top w:val="none" w:sz="0" w:space="0" w:color="auto"/>
        <w:left w:val="none" w:sz="0" w:space="0" w:color="auto"/>
        <w:bottom w:val="none" w:sz="0" w:space="0" w:color="auto"/>
        <w:right w:val="none" w:sz="0" w:space="0" w:color="auto"/>
      </w:divBdr>
    </w:div>
    <w:div w:id="337195840">
      <w:bodyDiv w:val="1"/>
      <w:marLeft w:val="0"/>
      <w:marRight w:val="0"/>
      <w:marTop w:val="0"/>
      <w:marBottom w:val="0"/>
      <w:divBdr>
        <w:top w:val="none" w:sz="0" w:space="0" w:color="auto"/>
        <w:left w:val="none" w:sz="0" w:space="0" w:color="auto"/>
        <w:bottom w:val="none" w:sz="0" w:space="0" w:color="auto"/>
        <w:right w:val="none" w:sz="0" w:space="0" w:color="auto"/>
      </w:divBdr>
      <w:divsChild>
        <w:div w:id="252472106">
          <w:marLeft w:val="0"/>
          <w:marRight w:val="0"/>
          <w:marTop w:val="0"/>
          <w:marBottom w:val="0"/>
          <w:divBdr>
            <w:top w:val="none" w:sz="0" w:space="0" w:color="auto"/>
            <w:left w:val="none" w:sz="0" w:space="0" w:color="auto"/>
            <w:bottom w:val="none" w:sz="0" w:space="0" w:color="auto"/>
            <w:right w:val="none" w:sz="0" w:space="0" w:color="auto"/>
          </w:divBdr>
        </w:div>
        <w:div w:id="1171019247">
          <w:marLeft w:val="0"/>
          <w:marRight w:val="0"/>
          <w:marTop w:val="0"/>
          <w:marBottom w:val="0"/>
          <w:divBdr>
            <w:top w:val="none" w:sz="0" w:space="0" w:color="auto"/>
            <w:left w:val="none" w:sz="0" w:space="0" w:color="auto"/>
            <w:bottom w:val="none" w:sz="0" w:space="0" w:color="auto"/>
            <w:right w:val="none" w:sz="0" w:space="0" w:color="auto"/>
          </w:divBdr>
        </w:div>
        <w:div w:id="1173036458">
          <w:marLeft w:val="0"/>
          <w:marRight w:val="0"/>
          <w:marTop w:val="0"/>
          <w:marBottom w:val="0"/>
          <w:divBdr>
            <w:top w:val="none" w:sz="0" w:space="0" w:color="auto"/>
            <w:left w:val="none" w:sz="0" w:space="0" w:color="auto"/>
            <w:bottom w:val="none" w:sz="0" w:space="0" w:color="auto"/>
            <w:right w:val="none" w:sz="0" w:space="0" w:color="auto"/>
          </w:divBdr>
        </w:div>
        <w:div w:id="1658530962">
          <w:marLeft w:val="0"/>
          <w:marRight w:val="0"/>
          <w:marTop w:val="0"/>
          <w:marBottom w:val="0"/>
          <w:divBdr>
            <w:top w:val="none" w:sz="0" w:space="0" w:color="auto"/>
            <w:left w:val="none" w:sz="0" w:space="0" w:color="auto"/>
            <w:bottom w:val="none" w:sz="0" w:space="0" w:color="auto"/>
            <w:right w:val="none" w:sz="0" w:space="0" w:color="auto"/>
          </w:divBdr>
        </w:div>
        <w:div w:id="1758594219">
          <w:marLeft w:val="0"/>
          <w:marRight w:val="0"/>
          <w:marTop w:val="0"/>
          <w:marBottom w:val="0"/>
          <w:divBdr>
            <w:top w:val="none" w:sz="0" w:space="0" w:color="auto"/>
            <w:left w:val="none" w:sz="0" w:space="0" w:color="auto"/>
            <w:bottom w:val="none" w:sz="0" w:space="0" w:color="auto"/>
            <w:right w:val="none" w:sz="0" w:space="0" w:color="auto"/>
          </w:divBdr>
        </w:div>
      </w:divsChild>
    </w:div>
    <w:div w:id="379596851">
      <w:bodyDiv w:val="1"/>
      <w:marLeft w:val="0"/>
      <w:marRight w:val="0"/>
      <w:marTop w:val="0"/>
      <w:marBottom w:val="0"/>
      <w:divBdr>
        <w:top w:val="none" w:sz="0" w:space="0" w:color="auto"/>
        <w:left w:val="none" w:sz="0" w:space="0" w:color="auto"/>
        <w:bottom w:val="none" w:sz="0" w:space="0" w:color="auto"/>
        <w:right w:val="none" w:sz="0" w:space="0" w:color="auto"/>
      </w:divBdr>
    </w:div>
    <w:div w:id="476460216">
      <w:bodyDiv w:val="1"/>
      <w:marLeft w:val="0"/>
      <w:marRight w:val="0"/>
      <w:marTop w:val="0"/>
      <w:marBottom w:val="0"/>
      <w:divBdr>
        <w:top w:val="none" w:sz="0" w:space="0" w:color="auto"/>
        <w:left w:val="none" w:sz="0" w:space="0" w:color="auto"/>
        <w:bottom w:val="none" w:sz="0" w:space="0" w:color="auto"/>
        <w:right w:val="none" w:sz="0" w:space="0" w:color="auto"/>
      </w:divBdr>
    </w:div>
    <w:div w:id="480735315">
      <w:bodyDiv w:val="1"/>
      <w:marLeft w:val="0"/>
      <w:marRight w:val="0"/>
      <w:marTop w:val="0"/>
      <w:marBottom w:val="0"/>
      <w:divBdr>
        <w:top w:val="none" w:sz="0" w:space="0" w:color="auto"/>
        <w:left w:val="none" w:sz="0" w:space="0" w:color="auto"/>
        <w:bottom w:val="none" w:sz="0" w:space="0" w:color="auto"/>
        <w:right w:val="none" w:sz="0" w:space="0" w:color="auto"/>
      </w:divBdr>
    </w:div>
    <w:div w:id="522401443">
      <w:bodyDiv w:val="1"/>
      <w:marLeft w:val="0"/>
      <w:marRight w:val="0"/>
      <w:marTop w:val="0"/>
      <w:marBottom w:val="0"/>
      <w:divBdr>
        <w:top w:val="none" w:sz="0" w:space="0" w:color="auto"/>
        <w:left w:val="none" w:sz="0" w:space="0" w:color="auto"/>
        <w:bottom w:val="none" w:sz="0" w:space="0" w:color="auto"/>
        <w:right w:val="none" w:sz="0" w:space="0" w:color="auto"/>
      </w:divBdr>
    </w:div>
    <w:div w:id="527380353">
      <w:bodyDiv w:val="1"/>
      <w:marLeft w:val="60"/>
      <w:marRight w:val="60"/>
      <w:marTop w:val="60"/>
      <w:marBottom w:val="15"/>
      <w:divBdr>
        <w:top w:val="none" w:sz="0" w:space="0" w:color="auto"/>
        <w:left w:val="none" w:sz="0" w:space="0" w:color="auto"/>
        <w:bottom w:val="none" w:sz="0" w:space="0" w:color="auto"/>
        <w:right w:val="none" w:sz="0" w:space="0" w:color="auto"/>
      </w:divBdr>
      <w:divsChild>
        <w:div w:id="787703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3871721">
              <w:marLeft w:val="0"/>
              <w:marRight w:val="0"/>
              <w:marTop w:val="0"/>
              <w:marBottom w:val="0"/>
              <w:divBdr>
                <w:top w:val="none" w:sz="0" w:space="0" w:color="auto"/>
                <w:left w:val="none" w:sz="0" w:space="0" w:color="auto"/>
                <w:bottom w:val="none" w:sz="0" w:space="0" w:color="auto"/>
                <w:right w:val="none" w:sz="0" w:space="0" w:color="auto"/>
              </w:divBdr>
              <w:divsChild>
                <w:div w:id="993679631">
                  <w:marLeft w:val="0"/>
                  <w:marRight w:val="0"/>
                  <w:marTop w:val="0"/>
                  <w:marBottom w:val="0"/>
                  <w:divBdr>
                    <w:top w:val="none" w:sz="0" w:space="0" w:color="auto"/>
                    <w:left w:val="none" w:sz="0" w:space="0" w:color="auto"/>
                    <w:bottom w:val="none" w:sz="0" w:space="0" w:color="auto"/>
                    <w:right w:val="none" w:sz="0" w:space="0" w:color="auto"/>
                  </w:divBdr>
                  <w:divsChild>
                    <w:div w:id="118888145">
                      <w:marLeft w:val="0"/>
                      <w:marRight w:val="0"/>
                      <w:marTop w:val="0"/>
                      <w:marBottom w:val="0"/>
                      <w:divBdr>
                        <w:top w:val="none" w:sz="0" w:space="0" w:color="auto"/>
                        <w:left w:val="none" w:sz="0" w:space="0" w:color="auto"/>
                        <w:bottom w:val="none" w:sz="0" w:space="0" w:color="auto"/>
                        <w:right w:val="none" w:sz="0" w:space="0" w:color="auto"/>
                      </w:divBdr>
                    </w:div>
                    <w:div w:id="197277268">
                      <w:marLeft w:val="0"/>
                      <w:marRight w:val="0"/>
                      <w:marTop w:val="0"/>
                      <w:marBottom w:val="0"/>
                      <w:divBdr>
                        <w:top w:val="none" w:sz="0" w:space="0" w:color="auto"/>
                        <w:left w:val="none" w:sz="0" w:space="0" w:color="auto"/>
                        <w:bottom w:val="none" w:sz="0" w:space="0" w:color="auto"/>
                        <w:right w:val="none" w:sz="0" w:space="0" w:color="auto"/>
                      </w:divBdr>
                    </w:div>
                    <w:div w:id="218980954">
                      <w:marLeft w:val="0"/>
                      <w:marRight w:val="0"/>
                      <w:marTop w:val="0"/>
                      <w:marBottom w:val="0"/>
                      <w:divBdr>
                        <w:top w:val="none" w:sz="0" w:space="0" w:color="auto"/>
                        <w:left w:val="none" w:sz="0" w:space="0" w:color="auto"/>
                        <w:bottom w:val="none" w:sz="0" w:space="0" w:color="auto"/>
                        <w:right w:val="none" w:sz="0" w:space="0" w:color="auto"/>
                      </w:divBdr>
                    </w:div>
                    <w:div w:id="242493734">
                      <w:marLeft w:val="0"/>
                      <w:marRight w:val="0"/>
                      <w:marTop w:val="0"/>
                      <w:marBottom w:val="0"/>
                      <w:divBdr>
                        <w:top w:val="none" w:sz="0" w:space="0" w:color="auto"/>
                        <w:left w:val="none" w:sz="0" w:space="0" w:color="auto"/>
                        <w:bottom w:val="none" w:sz="0" w:space="0" w:color="auto"/>
                        <w:right w:val="none" w:sz="0" w:space="0" w:color="auto"/>
                      </w:divBdr>
                    </w:div>
                    <w:div w:id="295718139">
                      <w:marLeft w:val="0"/>
                      <w:marRight w:val="0"/>
                      <w:marTop w:val="0"/>
                      <w:marBottom w:val="0"/>
                      <w:divBdr>
                        <w:top w:val="none" w:sz="0" w:space="0" w:color="auto"/>
                        <w:left w:val="none" w:sz="0" w:space="0" w:color="auto"/>
                        <w:bottom w:val="none" w:sz="0" w:space="0" w:color="auto"/>
                        <w:right w:val="none" w:sz="0" w:space="0" w:color="auto"/>
                      </w:divBdr>
                    </w:div>
                    <w:div w:id="370571282">
                      <w:marLeft w:val="0"/>
                      <w:marRight w:val="0"/>
                      <w:marTop w:val="0"/>
                      <w:marBottom w:val="0"/>
                      <w:divBdr>
                        <w:top w:val="none" w:sz="0" w:space="0" w:color="auto"/>
                        <w:left w:val="none" w:sz="0" w:space="0" w:color="auto"/>
                        <w:bottom w:val="none" w:sz="0" w:space="0" w:color="auto"/>
                        <w:right w:val="none" w:sz="0" w:space="0" w:color="auto"/>
                      </w:divBdr>
                    </w:div>
                    <w:div w:id="395662424">
                      <w:marLeft w:val="0"/>
                      <w:marRight w:val="0"/>
                      <w:marTop w:val="0"/>
                      <w:marBottom w:val="0"/>
                      <w:divBdr>
                        <w:top w:val="none" w:sz="0" w:space="0" w:color="auto"/>
                        <w:left w:val="none" w:sz="0" w:space="0" w:color="auto"/>
                        <w:bottom w:val="none" w:sz="0" w:space="0" w:color="auto"/>
                        <w:right w:val="none" w:sz="0" w:space="0" w:color="auto"/>
                      </w:divBdr>
                    </w:div>
                    <w:div w:id="404451095">
                      <w:marLeft w:val="0"/>
                      <w:marRight w:val="0"/>
                      <w:marTop w:val="0"/>
                      <w:marBottom w:val="0"/>
                      <w:divBdr>
                        <w:top w:val="none" w:sz="0" w:space="0" w:color="auto"/>
                        <w:left w:val="none" w:sz="0" w:space="0" w:color="auto"/>
                        <w:bottom w:val="none" w:sz="0" w:space="0" w:color="auto"/>
                        <w:right w:val="none" w:sz="0" w:space="0" w:color="auto"/>
                      </w:divBdr>
                    </w:div>
                    <w:div w:id="425351344">
                      <w:marLeft w:val="0"/>
                      <w:marRight w:val="0"/>
                      <w:marTop w:val="0"/>
                      <w:marBottom w:val="0"/>
                      <w:divBdr>
                        <w:top w:val="none" w:sz="0" w:space="0" w:color="auto"/>
                        <w:left w:val="none" w:sz="0" w:space="0" w:color="auto"/>
                        <w:bottom w:val="none" w:sz="0" w:space="0" w:color="auto"/>
                        <w:right w:val="none" w:sz="0" w:space="0" w:color="auto"/>
                      </w:divBdr>
                    </w:div>
                    <w:div w:id="443765691">
                      <w:marLeft w:val="0"/>
                      <w:marRight w:val="0"/>
                      <w:marTop w:val="0"/>
                      <w:marBottom w:val="0"/>
                      <w:divBdr>
                        <w:top w:val="none" w:sz="0" w:space="0" w:color="auto"/>
                        <w:left w:val="none" w:sz="0" w:space="0" w:color="auto"/>
                        <w:bottom w:val="none" w:sz="0" w:space="0" w:color="auto"/>
                        <w:right w:val="none" w:sz="0" w:space="0" w:color="auto"/>
                      </w:divBdr>
                    </w:div>
                    <w:div w:id="636110531">
                      <w:marLeft w:val="0"/>
                      <w:marRight w:val="0"/>
                      <w:marTop w:val="0"/>
                      <w:marBottom w:val="0"/>
                      <w:divBdr>
                        <w:top w:val="none" w:sz="0" w:space="0" w:color="auto"/>
                        <w:left w:val="none" w:sz="0" w:space="0" w:color="auto"/>
                        <w:bottom w:val="none" w:sz="0" w:space="0" w:color="auto"/>
                        <w:right w:val="none" w:sz="0" w:space="0" w:color="auto"/>
                      </w:divBdr>
                    </w:div>
                    <w:div w:id="718211617">
                      <w:marLeft w:val="0"/>
                      <w:marRight w:val="0"/>
                      <w:marTop w:val="0"/>
                      <w:marBottom w:val="0"/>
                      <w:divBdr>
                        <w:top w:val="none" w:sz="0" w:space="0" w:color="auto"/>
                        <w:left w:val="none" w:sz="0" w:space="0" w:color="auto"/>
                        <w:bottom w:val="none" w:sz="0" w:space="0" w:color="auto"/>
                        <w:right w:val="none" w:sz="0" w:space="0" w:color="auto"/>
                      </w:divBdr>
                    </w:div>
                    <w:div w:id="786706067">
                      <w:marLeft w:val="0"/>
                      <w:marRight w:val="0"/>
                      <w:marTop w:val="0"/>
                      <w:marBottom w:val="0"/>
                      <w:divBdr>
                        <w:top w:val="none" w:sz="0" w:space="0" w:color="auto"/>
                        <w:left w:val="none" w:sz="0" w:space="0" w:color="auto"/>
                        <w:bottom w:val="none" w:sz="0" w:space="0" w:color="auto"/>
                        <w:right w:val="none" w:sz="0" w:space="0" w:color="auto"/>
                      </w:divBdr>
                    </w:div>
                    <w:div w:id="935208139">
                      <w:marLeft w:val="0"/>
                      <w:marRight w:val="0"/>
                      <w:marTop w:val="0"/>
                      <w:marBottom w:val="0"/>
                      <w:divBdr>
                        <w:top w:val="none" w:sz="0" w:space="0" w:color="auto"/>
                        <w:left w:val="none" w:sz="0" w:space="0" w:color="auto"/>
                        <w:bottom w:val="none" w:sz="0" w:space="0" w:color="auto"/>
                        <w:right w:val="none" w:sz="0" w:space="0" w:color="auto"/>
                      </w:divBdr>
                    </w:div>
                    <w:div w:id="1118531261">
                      <w:marLeft w:val="0"/>
                      <w:marRight w:val="0"/>
                      <w:marTop w:val="0"/>
                      <w:marBottom w:val="0"/>
                      <w:divBdr>
                        <w:top w:val="none" w:sz="0" w:space="0" w:color="auto"/>
                        <w:left w:val="none" w:sz="0" w:space="0" w:color="auto"/>
                        <w:bottom w:val="none" w:sz="0" w:space="0" w:color="auto"/>
                        <w:right w:val="none" w:sz="0" w:space="0" w:color="auto"/>
                      </w:divBdr>
                    </w:div>
                    <w:div w:id="1129013779">
                      <w:marLeft w:val="0"/>
                      <w:marRight w:val="0"/>
                      <w:marTop w:val="0"/>
                      <w:marBottom w:val="0"/>
                      <w:divBdr>
                        <w:top w:val="none" w:sz="0" w:space="0" w:color="auto"/>
                        <w:left w:val="none" w:sz="0" w:space="0" w:color="auto"/>
                        <w:bottom w:val="none" w:sz="0" w:space="0" w:color="auto"/>
                        <w:right w:val="none" w:sz="0" w:space="0" w:color="auto"/>
                      </w:divBdr>
                    </w:div>
                    <w:div w:id="1159809215">
                      <w:marLeft w:val="0"/>
                      <w:marRight w:val="0"/>
                      <w:marTop w:val="0"/>
                      <w:marBottom w:val="0"/>
                      <w:divBdr>
                        <w:top w:val="none" w:sz="0" w:space="0" w:color="auto"/>
                        <w:left w:val="none" w:sz="0" w:space="0" w:color="auto"/>
                        <w:bottom w:val="none" w:sz="0" w:space="0" w:color="auto"/>
                        <w:right w:val="none" w:sz="0" w:space="0" w:color="auto"/>
                      </w:divBdr>
                    </w:div>
                    <w:div w:id="1196188716">
                      <w:marLeft w:val="0"/>
                      <w:marRight w:val="0"/>
                      <w:marTop w:val="0"/>
                      <w:marBottom w:val="0"/>
                      <w:divBdr>
                        <w:top w:val="none" w:sz="0" w:space="0" w:color="auto"/>
                        <w:left w:val="none" w:sz="0" w:space="0" w:color="auto"/>
                        <w:bottom w:val="none" w:sz="0" w:space="0" w:color="auto"/>
                        <w:right w:val="none" w:sz="0" w:space="0" w:color="auto"/>
                      </w:divBdr>
                    </w:div>
                    <w:div w:id="1204366974">
                      <w:marLeft w:val="0"/>
                      <w:marRight w:val="0"/>
                      <w:marTop w:val="0"/>
                      <w:marBottom w:val="0"/>
                      <w:divBdr>
                        <w:top w:val="none" w:sz="0" w:space="0" w:color="auto"/>
                        <w:left w:val="none" w:sz="0" w:space="0" w:color="auto"/>
                        <w:bottom w:val="none" w:sz="0" w:space="0" w:color="auto"/>
                        <w:right w:val="none" w:sz="0" w:space="0" w:color="auto"/>
                      </w:divBdr>
                    </w:div>
                    <w:div w:id="1347750212">
                      <w:marLeft w:val="0"/>
                      <w:marRight w:val="0"/>
                      <w:marTop w:val="0"/>
                      <w:marBottom w:val="0"/>
                      <w:divBdr>
                        <w:top w:val="none" w:sz="0" w:space="0" w:color="auto"/>
                        <w:left w:val="none" w:sz="0" w:space="0" w:color="auto"/>
                        <w:bottom w:val="none" w:sz="0" w:space="0" w:color="auto"/>
                        <w:right w:val="none" w:sz="0" w:space="0" w:color="auto"/>
                      </w:divBdr>
                    </w:div>
                    <w:div w:id="1497187709">
                      <w:marLeft w:val="0"/>
                      <w:marRight w:val="0"/>
                      <w:marTop w:val="0"/>
                      <w:marBottom w:val="0"/>
                      <w:divBdr>
                        <w:top w:val="none" w:sz="0" w:space="0" w:color="auto"/>
                        <w:left w:val="none" w:sz="0" w:space="0" w:color="auto"/>
                        <w:bottom w:val="none" w:sz="0" w:space="0" w:color="auto"/>
                        <w:right w:val="none" w:sz="0" w:space="0" w:color="auto"/>
                      </w:divBdr>
                    </w:div>
                    <w:div w:id="1578637947">
                      <w:marLeft w:val="0"/>
                      <w:marRight w:val="0"/>
                      <w:marTop w:val="0"/>
                      <w:marBottom w:val="0"/>
                      <w:divBdr>
                        <w:top w:val="none" w:sz="0" w:space="0" w:color="auto"/>
                        <w:left w:val="none" w:sz="0" w:space="0" w:color="auto"/>
                        <w:bottom w:val="none" w:sz="0" w:space="0" w:color="auto"/>
                        <w:right w:val="none" w:sz="0" w:space="0" w:color="auto"/>
                      </w:divBdr>
                    </w:div>
                    <w:div w:id="1607693097">
                      <w:marLeft w:val="0"/>
                      <w:marRight w:val="0"/>
                      <w:marTop w:val="0"/>
                      <w:marBottom w:val="0"/>
                      <w:divBdr>
                        <w:top w:val="none" w:sz="0" w:space="0" w:color="auto"/>
                        <w:left w:val="none" w:sz="0" w:space="0" w:color="auto"/>
                        <w:bottom w:val="none" w:sz="0" w:space="0" w:color="auto"/>
                        <w:right w:val="none" w:sz="0" w:space="0" w:color="auto"/>
                      </w:divBdr>
                    </w:div>
                    <w:div w:id="1675256274">
                      <w:marLeft w:val="0"/>
                      <w:marRight w:val="0"/>
                      <w:marTop w:val="0"/>
                      <w:marBottom w:val="0"/>
                      <w:divBdr>
                        <w:top w:val="none" w:sz="0" w:space="0" w:color="auto"/>
                        <w:left w:val="none" w:sz="0" w:space="0" w:color="auto"/>
                        <w:bottom w:val="none" w:sz="0" w:space="0" w:color="auto"/>
                        <w:right w:val="none" w:sz="0" w:space="0" w:color="auto"/>
                      </w:divBdr>
                    </w:div>
                    <w:div w:id="1696343343">
                      <w:marLeft w:val="0"/>
                      <w:marRight w:val="0"/>
                      <w:marTop w:val="0"/>
                      <w:marBottom w:val="0"/>
                      <w:divBdr>
                        <w:top w:val="none" w:sz="0" w:space="0" w:color="auto"/>
                        <w:left w:val="none" w:sz="0" w:space="0" w:color="auto"/>
                        <w:bottom w:val="none" w:sz="0" w:space="0" w:color="auto"/>
                        <w:right w:val="none" w:sz="0" w:space="0" w:color="auto"/>
                      </w:divBdr>
                    </w:div>
                    <w:div w:id="1704819612">
                      <w:marLeft w:val="0"/>
                      <w:marRight w:val="0"/>
                      <w:marTop w:val="0"/>
                      <w:marBottom w:val="0"/>
                      <w:divBdr>
                        <w:top w:val="none" w:sz="0" w:space="0" w:color="auto"/>
                        <w:left w:val="none" w:sz="0" w:space="0" w:color="auto"/>
                        <w:bottom w:val="none" w:sz="0" w:space="0" w:color="auto"/>
                        <w:right w:val="none" w:sz="0" w:space="0" w:color="auto"/>
                      </w:divBdr>
                    </w:div>
                    <w:div w:id="1744139266">
                      <w:marLeft w:val="0"/>
                      <w:marRight w:val="0"/>
                      <w:marTop w:val="0"/>
                      <w:marBottom w:val="0"/>
                      <w:divBdr>
                        <w:top w:val="none" w:sz="0" w:space="0" w:color="auto"/>
                        <w:left w:val="none" w:sz="0" w:space="0" w:color="auto"/>
                        <w:bottom w:val="none" w:sz="0" w:space="0" w:color="auto"/>
                        <w:right w:val="none" w:sz="0" w:space="0" w:color="auto"/>
                      </w:divBdr>
                    </w:div>
                    <w:div w:id="1749182822">
                      <w:marLeft w:val="0"/>
                      <w:marRight w:val="0"/>
                      <w:marTop w:val="0"/>
                      <w:marBottom w:val="0"/>
                      <w:divBdr>
                        <w:top w:val="none" w:sz="0" w:space="0" w:color="auto"/>
                        <w:left w:val="none" w:sz="0" w:space="0" w:color="auto"/>
                        <w:bottom w:val="none" w:sz="0" w:space="0" w:color="auto"/>
                        <w:right w:val="none" w:sz="0" w:space="0" w:color="auto"/>
                      </w:divBdr>
                    </w:div>
                    <w:div w:id="1818377946">
                      <w:marLeft w:val="0"/>
                      <w:marRight w:val="0"/>
                      <w:marTop w:val="0"/>
                      <w:marBottom w:val="0"/>
                      <w:divBdr>
                        <w:top w:val="none" w:sz="0" w:space="0" w:color="auto"/>
                        <w:left w:val="none" w:sz="0" w:space="0" w:color="auto"/>
                        <w:bottom w:val="none" w:sz="0" w:space="0" w:color="auto"/>
                        <w:right w:val="none" w:sz="0" w:space="0" w:color="auto"/>
                      </w:divBdr>
                    </w:div>
                    <w:div w:id="1880363467">
                      <w:marLeft w:val="0"/>
                      <w:marRight w:val="0"/>
                      <w:marTop w:val="0"/>
                      <w:marBottom w:val="0"/>
                      <w:divBdr>
                        <w:top w:val="none" w:sz="0" w:space="0" w:color="auto"/>
                        <w:left w:val="none" w:sz="0" w:space="0" w:color="auto"/>
                        <w:bottom w:val="none" w:sz="0" w:space="0" w:color="auto"/>
                        <w:right w:val="none" w:sz="0" w:space="0" w:color="auto"/>
                      </w:divBdr>
                    </w:div>
                    <w:div w:id="196130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038650">
      <w:bodyDiv w:val="1"/>
      <w:marLeft w:val="0"/>
      <w:marRight w:val="0"/>
      <w:marTop w:val="0"/>
      <w:marBottom w:val="0"/>
      <w:divBdr>
        <w:top w:val="none" w:sz="0" w:space="0" w:color="auto"/>
        <w:left w:val="none" w:sz="0" w:space="0" w:color="auto"/>
        <w:bottom w:val="none" w:sz="0" w:space="0" w:color="auto"/>
        <w:right w:val="none" w:sz="0" w:space="0" w:color="auto"/>
      </w:divBdr>
    </w:div>
    <w:div w:id="569655764">
      <w:bodyDiv w:val="1"/>
      <w:marLeft w:val="0"/>
      <w:marRight w:val="0"/>
      <w:marTop w:val="0"/>
      <w:marBottom w:val="0"/>
      <w:divBdr>
        <w:top w:val="none" w:sz="0" w:space="0" w:color="auto"/>
        <w:left w:val="none" w:sz="0" w:space="0" w:color="auto"/>
        <w:bottom w:val="none" w:sz="0" w:space="0" w:color="auto"/>
        <w:right w:val="none" w:sz="0" w:space="0" w:color="auto"/>
      </w:divBdr>
    </w:div>
    <w:div w:id="606620971">
      <w:bodyDiv w:val="1"/>
      <w:marLeft w:val="0"/>
      <w:marRight w:val="0"/>
      <w:marTop w:val="0"/>
      <w:marBottom w:val="0"/>
      <w:divBdr>
        <w:top w:val="none" w:sz="0" w:space="0" w:color="auto"/>
        <w:left w:val="none" w:sz="0" w:space="0" w:color="auto"/>
        <w:bottom w:val="none" w:sz="0" w:space="0" w:color="auto"/>
        <w:right w:val="none" w:sz="0" w:space="0" w:color="auto"/>
      </w:divBdr>
    </w:div>
    <w:div w:id="619259962">
      <w:bodyDiv w:val="1"/>
      <w:marLeft w:val="0"/>
      <w:marRight w:val="0"/>
      <w:marTop w:val="0"/>
      <w:marBottom w:val="0"/>
      <w:divBdr>
        <w:top w:val="none" w:sz="0" w:space="0" w:color="auto"/>
        <w:left w:val="none" w:sz="0" w:space="0" w:color="auto"/>
        <w:bottom w:val="none" w:sz="0" w:space="0" w:color="auto"/>
        <w:right w:val="none" w:sz="0" w:space="0" w:color="auto"/>
      </w:divBdr>
    </w:div>
    <w:div w:id="628585706">
      <w:bodyDiv w:val="1"/>
      <w:marLeft w:val="0"/>
      <w:marRight w:val="0"/>
      <w:marTop w:val="0"/>
      <w:marBottom w:val="0"/>
      <w:divBdr>
        <w:top w:val="none" w:sz="0" w:space="0" w:color="auto"/>
        <w:left w:val="none" w:sz="0" w:space="0" w:color="auto"/>
        <w:bottom w:val="none" w:sz="0" w:space="0" w:color="auto"/>
        <w:right w:val="none" w:sz="0" w:space="0" w:color="auto"/>
      </w:divBdr>
    </w:div>
    <w:div w:id="670304030">
      <w:bodyDiv w:val="1"/>
      <w:marLeft w:val="0"/>
      <w:marRight w:val="0"/>
      <w:marTop w:val="0"/>
      <w:marBottom w:val="0"/>
      <w:divBdr>
        <w:top w:val="none" w:sz="0" w:space="0" w:color="auto"/>
        <w:left w:val="none" w:sz="0" w:space="0" w:color="auto"/>
        <w:bottom w:val="none" w:sz="0" w:space="0" w:color="auto"/>
        <w:right w:val="none" w:sz="0" w:space="0" w:color="auto"/>
      </w:divBdr>
    </w:div>
    <w:div w:id="683553498">
      <w:bodyDiv w:val="1"/>
      <w:marLeft w:val="0"/>
      <w:marRight w:val="0"/>
      <w:marTop w:val="0"/>
      <w:marBottom w:val="0"/>
      <w:divBdr>
        <w:top w:val="none" w:sz="0" w:space="0" w:color="auto"/>
        <w:left w:val="none" w:sz="0" w:space="0" w:color="auto"/>
        <w:bottom w:val="none" w:sz="0" w:space="0" w:color="auto"/>
        <w:right w:val="none" w:sz="0" w:space="0" w:color="auto"/>
      </w:divBdr>
    </w:div>
    <w:div w:id="711541801">
      <w:bodyDiv w:val="1"/>
      <w:marLeft w:val="0"/>
      <w:marRight w:val="0"/>
      <w:marTop w:val="0"/>
      <w:marBottom w:val="0"/>
      <w:divBdr>
        <w:top w:val="none" w:sz="0" w:space="0" w:color="auto"/>
        <w:left w:val="none" w:sz="0" w:space="0" w:color="auto"/>
        <w:bottom w:val="none" w:sz="0" w:space="0" w:color="auto"/>
        <w:right w:val="none" w:sz="0" w:space="0" w:color="auto"/>
      </w:divBdr>
      <w:divsChild>
        <w:div w:id="140924208">
          <w:marLeft w:val="0"/>
          <w:marRight w:val="0"/>
          <w:marTop w:val="0"/>
          <w:marBottom w:val="0"/>
          <w:divBdr>
            <w:top w:val="none" w:sz="0" w:space="0" w:color="auto"/>
            <w:left w:val="none" w:sz="0" w:space="0" w:color="auto"/>
            <w:bottom w:val="none" w:sz="0" w:space="0" w:color="auto"/>
            <w:right w:val="none" w:sz="0" w:space="0" w:color="auto"/>
          </w:divBdr>
        </w:div>
        <w:div w:id="375929827">
          <w:marLeft w:val="0"/>
          <w:marRight w:val="0"/>
          <w:marTop w:val="0"/>
          <w:marBottom w:val="0"/>
          <w:divBdr>
            <w:top w:val="none" w:sz="0" w:space="0" w:color="auto"/>
            <w:left w:val="none" w:sz="0" w:space="0" w:color="auto"/>
            <w:bottom w:val="none" w:sz="0" w:space="0" w:color="auto"/>
            <w:right w:val="none" w:sz="0" w:space="0" w:color="auto"/>
          </w:divBdr>
        </w:div>
        <w:div w:id="674891118">
          <w:marLeft w:val="0"/>
          <w:marRight w:val="0"/>
          <w:marTop w:val="0"/>
          <w:marBottom w:val="0"/>
          <w:divBdr>
            <w:top w:val="none" w:sz="0" w:space="0" w:color="auto"/>
            <w:left w:val="none" w:sz="0" w:space="0" w:color="auto"/>
            <w:bottom w:val="none" w:sz="0" w:space="0" w:color="auto"/>
            <w:right w:val="none" w:sz="0" w:space="0" w:color="auto"/>
          </w:divBdr>
        </w:div>
        <w:div w:id="972059360">
          <w:marLeft w:val="0"/>
          <w:marRight w:val="0"/>
          <w:marTop w:val="0"/>
          <w:marBottom w:val="0"/>
          <w:divBdr>
            <w:top w:val="none" w:sz="0" w:space="0" w:color="auto"/>
            <w:left w:val="none" w:sz="0" w:space="0" w:color="auto"/>
            <w:bottom w:val="none" w:sz="0" w:space="0" w:color="auto"/>
            <w:right w:val="none" w:sz="0" w:space="0" w:color="auto"/>
          </w:divBdr>
        </w:div>
        <w:div w:id="1348748709">
          <w:marLeft w:val="0"/>
          <w:marRight w:val="0"/>
          <w:marTop w:val="0"/>
          <w:marBottom w:val="0"/>
          <w:divBdr>
            <w:top w:val="none" w:sz="0" w:space="0" w:color="auto"/>
            <w:left w:val="none" w:sz="0" w:space="0" w:color="auto"/>
            <w:bottom w:val="none" w:sz="0" w:space="0" w:color="auto"/>
            <w:right w:val="none" w:sz="0" w:space="0" w:color="auto"/>
          </w:divBdr>
        </w:div>
        <w:div w:id="1622833749">
          <w:marLeft w:val="0"/>
          <w:marRight w:val="0"/>
          <w:marTop w:val="0"/>
          <w:marBottom w:val="0"/>
          <w:divBdr>
            <w:top w:val="none" w:sz="0" w:space="0" w:color="auto"/>
            <w:left w:val="none" w:sz="0" w:space="0" w:color="auto"/>
            <w:bottom w:val="none" w:sz="0" w:space="0" w:color="auto"/>
            <w:right w:val="none" w:sz="0" w:space="0" w:color="auto"/>
          </w:divBdr>
        </w:div>
        <w:div w:id="1650207843">
          <w:marLeft w:val="0"/>
          <w:marRight w:val="0"/>
          <w:marTop w:val="0"/>
          <w:marBottom w:val="0"/>
          <w:divBdr>
            <w:top w:val="none" w:sz="0" w:space="0" w:color="auto"/>
            <w:left w:val="none" w:sz="0" w:space="0" w:color="auto"/>
            <w:bottom w:val="none" w:sz="0" w:space="0" w:color="auto"/>
            <w:right w:val="none" w:sz="0" w:space="0" w:color="auto"/>
          </w:divBdr>
        </w:div>
        <w:div w:id="1736929861">
          <w:marLeft w:val="0"/>
          <w:marRight w:val="0"/>
          <w:marTop w:val="0"/>
          <w:marBottom w:val="0"/>
          <w:divBdr>
            <w:top w:val="none" w:sz="0" w:space="0" w:color="auto"/>
            <w:left w:val="none" w:sz="0" w:space="0" w:color="auto"/>
            <w:bottom w:val="none" w:sz="0" w:space="0" w:color="auto"/>
            <w:right w:val="none" w:sz="0" w:space="0" w:color="auto"/>
          </w:divBdr>
        </w:div>
        <w:div w:id="1840928600">
          <w:marLeft w:val="0"/>
          <w:marRight w:val="0"/>
          <w:marTop w:val="0"/>
          <w:marBottom w:val="0"/>
          <w:divBdr>
            <w:top w:val="none" w:sz="0" w:space="0" w:color="auto"/>
            <w:left w:val="none" w:sz="0" w:space="0" w:color="auto"/>
            <w:bottom w:val="none" w:sz="0" w:space="0" w:color="auto"/>
            <w:right w:val="none" w:sz="0" w:space="0" w:color="auto"/>
          </w:divBdr>
        </w:div>
        <w:div w:id="2025016716">
          <w:marLeft w:val="0"/>
          <w:marRight w:val="0"/>
          <w:marTop w:val="0"/>
          <w:marBottom w:val="0"/>
          <w:divBdr>
            <w:top w:val="none" w:sz="0" w:space="0" w:color="auto"/>
            <w:left w:val="none" w:sz="0" w:space="0" w:color="auto"/>
            <w:bottom w:val="none" w:sz="0" w:space="0" w:color="auto"/>
            <w:right w:val="none" w:sz="0" w:space="0" w:color="auto"/>
          </w:divBdr>
        </w:div>
      </w:divsChild>
    </w:div>
    <w:div w:id="724062440">
      <w:bodyDiv w:val="1"/>
      <w:marLeft w:val="0"/>
      <w:marRight w:val="0"/>
      <w:marTop w:val="0"/>
      <w:marBottom w:val="0"/>
      <w:divBdr>
        <w:top w:val="none" w:sz="0" w:space="0" w:color="auto"/>
        <w:left w:val="none" w:sz="0" w:space="0" w:color="auto"/>
        <w:bottom w:val="none" w:sz="0" w:space="0" w:color="auto"/>
        <w:right w:val="none" w:sz="0" w:space="0" w:color="auto"/>
      </w:divBdr>
    </w:div>
    <w:div w:id="790903516">
      <w:bodyDiv w:val="1"/>
      <w:marLeft w:val="0"/>
      <w:marRight w:val="0"/>
      <w:marTop w:val="0"/>
      <w:marBottom w:val="0"/>
      <w:divBdr>
        <w:top w:val="none" w:sz="0" w:space="0" w:color="auto"/>
        <w:left w:val="none" w:sz="0" w:space="0" w:color="auto"/>
        <w:bottom w:val="none" w:sz="0" w:space="0" w:color="auto"/>
        <w:right w:val="none" w:sz="0" w:space="0" w:color="auto"/>
      </w:divBdr>
    </w:div>
    <w:div w:id="816721927">
      <w:bodyDiv w:val="1"/>
      <w:marLeft w:val="0"/>
      <w:marRight w:val="0"/>
      <w:marTop w:val="0"/>
      <w:marBottom w:val="0"/>
      <w:divBdr>
        <w:top w:val="none" w:sz="0" w:space="0" w:color="auto"/>
        <w:left w:val="none" w:sz="0" w:space="0" w:color="auto"/>
        <w:bottom w:val="none" w:sz="0" w:space="0" w:color="auto"/>
        <w:right w:val="none" w:sz="0" w:space="0" w:color="auto"/>
      </w:divBdr>
    </w:div>
    <w:div w:id="900479671">
      <w:bodyDiv w:val="1"/>
      <w:marLeft w:val="0"/>
      <w:marRight w:val="0"/>
      <w:marTop w:val="0"/>
      <w:marBottom w:val="0"/>
      <w:divBdr>
        <w:top w:val="none" w:sz="0" w:space="0" w:color="auto"/>
        <w:left w:val="none" w:sz="0" w:space="0" w:color="auto"/>
        <w:bottom w:val="none" w:sz="0" w:space="0" w:color="auto"/>
        <w:right w:val="none" w:sz="0" w:space="0" w:color="auto"/>
      </w:divBdr>
    </w:div>
    <w:div w:id="900680141">
      <w:bodyDiv w:val="1"/>
      <w:marLeft w:val="0"/>
      <w:marRight w:val="0"/>
      <w:marTop w:val="0"/>
      <w:marBottom w:val="0"/>
      <w:divBdr>
        <w:top w:val="none" w:sz="0" w:space="0" w:color="auto"/>
        <w:left w:val="none" w:sz="0" w:space="0" w:color="auto"/>
        <w:bottom w:val="none" w:sz="0" w:space="0" w:color="auto"/>
        <w:right w:val="none" w:sz="0" w:space="0" w:color="auto"/>
      </w:divBdr>
    </w:div>
    <w:div w:id="991904035">
      <w:bodyDiv w:val="1"/>
      <w:marLeft w:val="0"/>
      <w:marRight w:val="0"/>
      <w:marTop w:val="0"/>
      <w:marBottom w:val="0"/>
      <w:divBdr>
        <w:top w:val="none" w:sz="0" w:space="0" w:color="auto"/>
        <w:left w:val="none" w:sz="0" w:space="0" w:color="auto"/>
        <w:bottom w:val="none" w:sz="0" w:space="0" w:color="auto"/>
        <w:right w:val="none" w:sz="0" w:space="0" w:color="auto"/>
      </w:divBdr>
    </w:div>
    <w:div w:id="1279607322">
      <w:bodyDiv w:val="1"/>
      <w:marLeft w:val="0"/>
      <w:marRight w:val="0"/>
      <w:marTop w:val="0"/>
      <w:marBottom w:val="0"/>
      <w:divBdr>
        <w:top w:val="none" w:sz="0" w:space="0" w:color="auto"/>
        <w:left w:val="none" w:sz="0" w:space="0" w:color="auto"/>
        <w:bottom w:val="none" w:sz="0" w:space="0" w:color="auto"/>
        <w:right w:val="none" w:sz="0" w:space="0" w:color="auto"/>
      </w:divBdr>
    </w:div>
    <w:div w:id="1300841834">
      <w:bodyDiv w:val="1"/>
      <w:marLeft w:val="0"/>
      <w:marRight w:val="0"/>
      <w:marTop w:val="0"/>
      <w:marBottom w:val="0"/>
      <w:divBdr>
        <w:top w:val="none" w:sz="0" w:space="0" w:color="auto"/>
        <w:left w:val="none" w:sz="0" w:space="0" w:color="auto"/>
        <w:bottom w:val="none" w:sz="0" w:space="0" w:color="auto"/>
        <w:right w:val="none" w:sz="0" w:space="0" w:color="auto"/>
      </w:divBdr>
    </w:div>
    <w:div w:id="1387337853">
      <w:bodyDiv w:val="1"/>
      <w:marLeft w:val="60"/>
      <w:marRight w:val="60"/>
      <w:marTop w:val="60"/>
      <w:marBottom w:val="15"/>
      <w:divBdr>
        <w:top w:val="none" w:sz="0" w:space="0" w:color="auto"/>
        <w:left w:val="none" w:sz="0" w:space="0" w:color="auto"/>
        <w:bottom w:val="none" w:sz="0" w:space="0" w:color="auto"/>
        <w:right w:val="none" w:sz="0" w:space="0" w:color="auto"/>
      </w:divBdr>
      <w:divsChild>
        <w:div w:id="578447316">
          <w:marLeft w:val="0"/>
          <w:marRight w:val="0"/>
          <w:marTop w:val="0"/>
          <w:marBottom w:val="0"/>
          <w:divBdr>
            <w:top w:val="none" w:sz="0" w:space="0" w:color="auto"/>
            <w:left w:val="none" w:sz="0" w:space="0" w:color="auto"/>
            <w:bottom w:val="none" w:sz="0" w:space="0" w:color="auto"/>
            <w:right w:val="none" w:sz="0" w:space="0" w:color="auto"/>
          </w:divBdr>
        </w:div>
      </w:divsChild>
    </w:div>
    <w:div w:id="1439908490">
      <w:bodyDiv w:val="1"/>
      <w:marLeft w:val="0"/>
      <w:marRight w:val="0"/>
      <w:marTop w:val="0"/>
      <w:marBottom w:val="0"/>
      <w:divBdr>
        <w:top w:val="none" w:sz="0" w:space="0" w:color="auto"/>
        <w:left w:val="none" w:sz="0" w:space="0" w:color="auto"/>
        <w:bottom w:val="none" w:sz="0" w:space="0" w:color="auto"/>
        <w:right w:val="none" w:sz="0" w:space="0" w:color="auto"/>
      </w:divBdr>
    </w:div>
    <w:div w:id="1676302354">
      <w:bodyDiv w:val="1"/>
      <w:marLeft w:val="0"/>
      <w:marRight w:val="0"/>
      <w:marTop w:val="0"/>
      <w:marBottom w:val="0"/>
      <w:divBdr>
        <w:top w:val="none" w:sz="0" w:space="0" w:color="auto"/>
        <w:left w:val="none" w:sz="0" w:space="0" w:color="auto"/>
        <w:bottom w:val="none" w:sz="0" w:space="0" w:color="auto"/>
        <w:right w:val="none" w:sz="0" w:space="0" w:color="auto"/>
      </w:divBdr>
    </w:div>
    <w:div w:id="1748651182">
      <w:bodyDiv w:val="1"/>
      <w:marLeft w:val="0"/>
      <w:marRight w:val="0"/>
      <w:marTop w:val="0"/>
      <w:marBottom w:val="0"/>
      <w:divBdr>
        <w:top w:val="none" w:sz="0" w:space="0" w:color="auto"/>
        <w:left w:val="none" w:sz="0" w:space="0" w:color="auto"/>
        <w:bottom w:val="none" w:sz="0" w:space="0" w:color="auto"/>
        <w:right w:val="none" w:sz="0" w:space="0" w:color="auto"/>
      </w:divBdr>
    </w:div>
    <w:div w:id="1777604034">
      <w:bodyDiv w:val="1"/>
      <w:marLeft w:val="0"/>
      <w:marRight w:val="0"/>
      <w:marTop w:val="0"/>
      <w:marBottom w:val="0"/>
      <w:divBdr>
        <w:top w:val="none" w:sz="0" w:space="0" w:color="auto"/>
        <w:left w:val="none" w:sz="0" w:space="0" w:color="auto"/>
        <w:bottom w:val="none" w:sz="0" w:space="0" w:color="auto"/>
        <w:right w:val="none" w:sz="0" w:space="0" w:color="auto"/>
      </w:divBdr>
    </w:div>
    <w:div w:id="1816481936">
      <w:bodyDiv w:val="1"/>
      <w:marLeft w:val="0"/>
      <w:marRight w:val="0"/>
      <w:marTop w:val="0"/>
      <w:marBottom w:val="0"/>
      <w:divBdr>
        <w:top w:val="none" w:sz="0" w:space="0" w:color="auto"/>
        <w:left w:val="none" w:sz="0" w:space="0" w:color="auto"/>
        <w:bottom w:val="none" w:sz="0" w:space="0" w:color="auto"/>
        <w:right w:val="none" w:sz="0" w:space="0" w:color="auto"/>
      </w:divBdr>
    </w:div>
    <w:div w:id="1874810100">
      <w:bodyDiv w:val="1"/>
      <w:marLeft w:val="0"/>
      <w:marRight w:val="0"/>
      <w:marTop w:val="0"/>
      <w:marBottom w:val="0"/>
      <w:divBdr>
        <w:top w:val="none" w:sz="0" w:space="0" w:color="auto"/>
        <w:left w:val="none" w:sz="0" w:space="0" w:color="auto"/>
        <w:bottom w:val="none" w:sz="0" w:space="0" w:color="auto"/>
        <w:right w:val="none" w:sz="0" w:space="0" w:color="auto"/>
      </w:divBdr>
    </w:div>
    <w:div w:id="1985965482">
      <w:bodyDiv w:val="1"/>
      <w:marLeft w:val="0"/>
      <w:marRight w:val="0"/>
      <w:marTop w:val="0"/>
      <w:marBottom w:val="0"/>
      <w:divBdr>
        <w:top w:val="none" w:sz="0" w:space="0" w:color="auto"/>
        <w:left w:val="none" w:sz="0" w:space="0" w:color="auto"/>
        <w:bottom w:val="none" w:sz="0" w:space="0" w:color="auto"/>
        <w:right w:val="none" w:sz="0" w:space="0" w:color="auto"/>
      </w:divBdr>
    </w:div>
    <w:div w:id="1992058091">
      <w:bodyDiv w:val="1"/>
      <w:marLeft w:val="0"/>
      <w:marRight w:val="0"/>
      <w:marTop w:val="0"/>
      <w:marBottom w:val="0"/>
      <w:divBdr>
        <w:top w:val="none" w:sz="0" w:space="0" w:color="auto"/>
        <w:left w:val="none" w:sz="0" w:space="0" w:color="auto"/>
        <w:bottom w:val="none" w:sz="0" w:space="0" w:color="auto"/>
        <w:right w:val="none" w:sz="0" w:space="0" w:color="auto"/>
      </w:divBdr>
    </w:div>
    <w:div w:id="199972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tagliacarne.it" TargetMode="External"/><Relationship Id="rId2" Type="http://schemas.openxmlformats.org/officeDocument/2006/relationships/hyperlink" Target="http://www.unioncamere.gov.it" TargetMode="External"/><Relationship Id="rId1" Type="http://schemas.openxmlformats.org/officeDocument/2006/relationships/hyperlink" Target="mailto:ufficio.stampa@unioncamere.it"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agliacarne.it" TargetMode="External"/><Relationship Id="rId2" Type="http://schemas.openxmlformats.org/officeDocument/2006/relationships/hyperlink" Target="http://www.unioncamere.gov.it" TargetMode="External"/><Relationship Id="rId1" Type="http://schemas.openxmlformats.org/officeDocument/2006/relationships/hyperlink" Target="mailto:ufficio.stampa@unioncamere.i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FORMAT%20COMUNICATO.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intra.tagliacarne.it\dfs\IGTDFS\NewArch-IGT\Ricerca\Report%20Agricoltura\REPORT\Loredana\Definitivo%20inviato\Grafici_agricoltur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intra.tagliacarne.it\dfs\IGTDFS\NewArch-IGT\Ricerca\Report%20Agricoltura\Grafici_agricoltur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intra.tagliacarne.it\dfs\IGTDFS\NewArch-IGT\Ricerca\Report%20Agricoltura\Grafici_agricoltura.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intra.tagliacarne.it\dfs\IGTDFS\NewArch-IGT\Ricerca\Report%20Agricoltura\Grafici_agricoltura.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'impresa 4.0'!$AG$30</c:f>
              <c:strCache>
                <c:ptCount val="1"/>
                <c:pt idx="0">
                  <c:v>Imprese agricole</c:v>
                </c:pt>
              </c:strCache>
            </c:strRef>
          </c:tx>
          <c:spPr>
            <a:solidFill>
              <a:srgbClr val="002060"/>
            </a:solidFill>
            <a:ln>
              <a:noFill/>
            </a:ln>
            <a:effectLst/>
          </c:spPr>
          <c:invertIfNegative val="0"/>
          <c:dPt>
            <c:idx val="2"/>
            <c:invertIfNegative val="0"/>
            <c:bubble3D val="0"/>
            <c:spPr>
              <a:pattFill prst="ltDnDiag">
                <a:fgClr>
                  <a:srgbClr val="002060"/>
                </a:fgClr>
                <a:bgClr>
                  <a:schemeClr val="bg1"/>
                </a:bgClr>
              </a:pattFill>
              <a:ln>
                <a:noFill/>
              </a:ln>
              <a:effectLst/>
            </c:spPr>
            <c:extLst>
              <c:ext xmlns:c16="http://schemas.microsoft.com/office/drawing/2014/chart" uri="{C3380CC4-5D6E-409C-BE32-E72D297353CC}">
                <c16:uniqueId val="{00000001-F510-4D11-9545-3D57F67387BB}"/>
              </c:ext>
            </c:extLst>
          </c:dPt>
          <c:dLbls>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'impresa 4.0'!$AH$29:$AJ$29</c:f>
              <c:strCache>
                <c:ptCount val="3"/>
                <c:pt idx="0">
                  <c:v>17-19</c:v>
                </c:pt>
                <c:pt idx="1">
                  <c:v>20-21</c:v>
                </c:pt>
                <c:pt idx="2">
                  <c:v>22-24</c:v>
                </c:pt>
              </c:strCache>
            </c:strRef>
          </c:cat>
          <c:val>
            <c:numRef>
              <c:f>'impresa 4.0'!$AH$30:$AJ$30</c:f>
              <c:numCache>
                <c:formatCode>0</c:formatCode>
                <c:ptCount val="3"/>
                <c:pt idx="0">
                  <c:v>3.5999999999999996</c:v>
                </c:pt>
                <c:pt idx="1">
                  <c:v>19.8</c:v>
                </c:pt>
                <c:pt idx="2">
                  <c:v>23</c:v>
                </c:pt>
              </c:numCache>
            </c:numRef>
          </c:val>
          <c:extLst>
            <c:ext xmlns:c16="http://schemas.microsoft.com/office/drawing/2014/chart" uri="{C3380CC4-5D6E-409C-BE32-E72D297353CC}">
              <c16:uniqueId val="{00000002-F510-4D11-9545-3D57F67387BB}"/>
            </c:ext>
          </c:extLst>
        </c:ser>
        <c:dLbls>
          <c:dLblPos val="outEnd"/>
          <c:showLegendKey val="0"/>
          <c:showVal val="1"/>
          <c:showCatName val="0"/>
          <c:showSerName val="0"/>
          <c:showPercent val="0"/>
          <c:showBubbleSize val="0"/>
        </c:dLbls>
        <c:gapWidth val="219"/>
        <c:overlap val="-27"/>
        <c:axId val="511142728"/>
        <c:axId val="511143712"/>
        <c:extLst>
          <c:ext xmlns:c15="http://schemas.microsoft.com/office/drawing/2012/chart" uri="{02D57815-91ED-43cb-92C2-25804820EDAC}">
            <c15:filteredBarSeries>
              <c15:ser>
                <c:idx val="1"/>
                <c:order val="1"/>
                <c:tx>
                  <c:strRef>
                    <c:extLst>
                      <c:ext uri="{02D57815-91ED-43cb-92C2-25804820EDAC}">
                        <c15:formulaRef>
                          <c15:sqref>'impresa 4.0'!$AG$31</c15:sqref>
                        </c15:formulaRef>
                      </c:ext>
                    </c:extLst>
                    <c:strCache>
                      <c:ptCount val="1"/>
                      <c:pt idx="0">
                        <c:v>Imprese dei servizi</c:v>
                      </c:pt>
                    </c:strCache>
                  </c:strRef>
                </c:tx>
                <c:spPr>
                  <a:solidFill>
                    <a:srgbClr val="0070C0"/>
                  </a:solidFill>
                  <a:ln>
                    <a:noFill/>
                  </a:ln>
                  <a:effectLst/>
                </c:spPr>
                <c:invertIfNegative val="0"/>
                <c:dPt>
                  <c:idx val="2"/>
                  <c:invertIfNegative val="0"/>
                  <c:bubble3D val="0"/>
                  <c:spPr>
                    <a:pattFill prst="ltUpDiag">
                      <a:fgClr>
                        <a:srgbClr val="0070C0"/>
                      </a:fgClr>
                      <a:bgClr>
                        <a:schemeClr val="bg1"/>
                      </a:bgClr>
                    </a:pattFill>
                    <a:ln>
                      <a:noFill/>
                    </a:ln>
                    <a:effectLst/>
                  </c:spPr>
                  <c:extLst>
                    <c:ext xmlns:c16="http://schemas.microsoft.com/office/drawing/2014/chart" uri="{C3380CC4-5D6E-409C-BE32-E72D297353CC}">
                      <c16:uniqueId val="{00000004-F510-4D11-9545-3D57F67387BB}"/>
                    </c:ext>
                  </c:extLst>
                </c:dPt>
                <c:dLbls>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it-IT"/>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'impresa 4.0'!$AH$29:$AJ$29</c15:sqref>
                        </c15:formulaRef>
                      </c:ext>
                    </c:extLst>
                    <c:strCache>
                      <c:ptCount val="3"/>
                      <c:pt idx="0">
                        <c:v>17-19</c:v>
                      </c:pt>
                      <c:pt idx="1">
                        <c:v>20-21</c:v>
                      </c:pt>
                      <c:pt idx="2">
                        <c:v>22-24</c:v>
                      </c:pt>
                    </c:strCache>
                  </c:strRef>
                </c:cat>
                <c:val>
                  <c:numRef>
                    <c:extLst>
                      <c:ext uri="{02D57815-91ED-43cb-92C2-25804820EDAC}">
                        <c15:formulaRef>
                          <c15:sqref>'impresa 4.0'!$AH$31:$AJ$31</c15:sqref>
                        </c15:formulaRef>
                      </c:ext>
                    </c:extLst>
                    <c:numCache>
                      <c:formatCode>0</c:formatCode>
                      <c:ptCount val="3"/>
                      <c:pt idx="0">
                        <c:v>8.6132644272179171</c:v>
                      </c:pt>
                      <c:pt idx="1">
                        <c:v>13.867355727820843</c:v>
                      </c:pt>
                      <c:pt idx="2">
                        <c:v>16.968130921619291</c:v>
                      </c:pt>
                    </c:numCache>
                  </c:numRef>
                </c:val>
                <c:extLst>
                  <c:ext xmlns:c16="http://schemas.microsoft.com/office/drawing/2014/chart" uri="{C3380CC4-5D6E-409C-BE32-E72D297353CC}">
                    <c16:uniqueId val="{00000005-F510-4D11-9545-3D57F67387BB}"/>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'impresa 4.0'!$AG$32</c15:sqref>
                        </c15:formulaRef>
                      </c:ext>
                    </c:extLst>
                    <c:strCache>
                      <c:ptCount val="1"/>
                      <c:pt idx="0">
                        <c:v>Imprese manifatturiere</c:v>
                      </c:pt>
                    </c:strCache>
                  </c:strRef>
                </c:tx>
                <c:spPr>
                  <a:solidFill>
                    <a:srgbClr val="00B0F0"/>
                  </a:solidFill>
                  <a:ln>
                    <a:noFill/>
                  </a:ln>
                  <a:effectLst/>
                </c:spPr>
                <c:invertIfNegative val="0"/>
                <c:dPt>
                  <c:idx val="2"/>
                  <c:invertIfNegative val="0"/>
                  <c:bubble3D val="0"/>
                  <c:spPr>
                    <a:pattFill prst="ltDnDiag">
                      <a:fgClr>
                        <a:srgbClr val="00B0F0"/>
                      </a:fgClr>
                      <a:bgClr>
                        <a:schemeClr val="bg1"/>
                      </a:bgClr>
                    </a:pattFill>
                    <a:ln>
                      <a:noFill/>
                    </a:ln>
                    <a:effectLst/>
                  </c:spPr>
                  <c:extLst xmlns:c15="http://schemas.microsoft.com/office/drawing/2012/chart">
                    <c:ext xmlns:c16="http://schemas.microsoft.com/office/drawing/2014/chart" uri="{C3380CC4-5D6E-409C-BE32-E72D297353CC}">
                      <c16:uniqueId val="{00000007-F510-4D11-9545-3D57F67387BB}"/>
                    </c:ext>
                  </c:extLst>
                </c:dPt>
                <c:dLbls>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it-IT"/>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'impresa 4.0'!$AH$29:$AJ$29</c15:sqref>
                        </c15:formulaRef>
                      </c:ext>
                    </c:extLst>
                    <c:strCache>
                      <c:ptCount val="3"/>
                      <c:pt idx="0">
                        <c:v>17-19</c:v>
                      </c:pt>
                      <c:pt idx="1">
                        <c:v>20-21</c:v>
                      </c:pt>
                      <c:pt idx="2">
                        <c:v>22-24</c:v>
                      </c:pt>
                    </c:strCache>
                  </c:strRef>
                </c:cat>
                <c:val>
                  <c:numRef>
                    <c:extLst xmlns:c15="http://schemas.microsoft.com/office/drawing/2012/chart">
                      <c:ext xmlns:c15="http://schemas.microsoft.com/office/drawing/2012/chart" uri="{02D57815-91ED-43cb-92C2-25804820EDAC}">
                        <c15:formulaRef>
                          <c15:sqref>'impresa 4.0'!$AH$32:$AJ$32</c15:sqref>
                        </c15:formulaRef>
                      </c:ext>
                    </c:extLst>
                    <c:numCache>
                      <c:formatCode>0</c:formatCode>
                      <c:ptCount val="3"/>
                      <c:pt idx="0">
                        <c:v>26.43333333333333</c:v>
                      </c:pt>
                      <c:pt idx="1">
                        <c:v>37.533333333333339</c:v>
                      </c:pt>
                      <c:pt idx="2">
                        <c:v>42.5</c:v>
                      </c:pt>
                    </c:numCache>
                  </c:numRef>
                </c:val>
                <c:extLst xmlns:c15="http://schemas.microsoft.com/office/drawing/2012/chart">
                  <c:ext xmlns:c16="http://schemas.microsoft.com/office/drawing/2014/chart" uri="{C3380CC4-5D6E-409C-BE32-E72D297353CC}">
                    <c16:uniqueId val="{00000008-F510-4D11-9545-3D57F67387BB}"/>
                  </c:ext>
                </c:extLst>
              </c15:ser>
            </c15:filteredBarSeries>
          </c:ext>
        </c:extLst>
      </c:barChart>
      <c:catAx>
        <c:axId val="511142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it-IT"/>
          </a:p>
        </c:txPr>
        <c:crossAx val="511143712"/>
        <c:crosses val="autoZero"/>
        <c:auto val="1"/>
        <c:lblAlgn val="ctr"/>
        <c:lblOffset val="100"/>
        <c:noMultiLvlLbl val="0"/>
      </c:catAx>
      <c:valAx>
        <c:axId val="511143712"/>
        <c:scaling>
          <c:orientation val="minMax"/>
        </c:scaling>
        <c:delete val="1"/>
        <c:axPos val="l"/>
        <c:numFmt formatCode="0" sourceLinked="1"/>
        <c:majorTickMark val="none"/>
        <c:minorTickMark val="none"/>
        <c:tickLblPos val="nextTo"/>
        <c:crossAx val="5111427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it-IT"/>
        </a:p>
      </c:txPr>
    </c:legend>
    <c:plotVisOnly val="1"/>
    <c:dispBlanksAs val="gap"/>
    <c:showDLblsOverMax val="0"/>
  </c:chart>
  <c:spPr>
    <a:solidFill>
      <a:schemeClr val="bg1"/>
    </a:solidFill>
    <a:ln w="9525" cap="flat" cmpd="sng" algn="ctr">
      <a:noFill/>
      <a:round/>
    </a:ln>
    <a:effectLst/>
  </c:spPr>
  <c:txPr>
    <a:bodyPr/>
    <a:lstStyle/>
    <a:p>
      <a:pPr>
        <a:defRPr sz="1000">
          <a:solidFill>
            <a:schemeClr val="tx1"/>
          </a:solidFill>
        </a:defRPr>
      </a:pPr>
      <a:endParaRPr lang="it-IT"/>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rgbClr val="002060"/>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'impresa 4.0'!$S$171:$S$175</c:f>
              <c:strCache>
                <c:ptCount val="5"/>
                <c:pt idx="0">
                  <c:v>Nessuna difficoltà</c:v>
                </c:pt>
                <c:pt idx="1">
                  <c:v>Risorse economiche insufficienti o del tutto assenti all’interno dell’impresa</c:v>
                </c:pt>
                <c:pt idx="2">
                  <c:v>Costi delle tecnologie troppo elevati</c:v>
                </c:pt>
                <c:pt idx="3">
                  <c:v>Scarsa conoscenza / Mancanza di informazione sull’iter per investire in tecnologie digitali</c:v>
                </c:pt>
                <c:pt idx="4">
                  <c:v>Mancanza di competenze digitali interne</c:v>
                </c:pt>
              </c:strCache>
            </c:strRef>
          </c:cat>
          <c:val>
            <c:numRef>
              <c:f>'impresa 4.0'!$T$171:$T$175</c:f>
              <c:numCache>
                <c:formatCode>0</c:formatCode>
                <c:ptCount val="5"/>
                <c:pt idx="0">
                  <c:v>30.3</c:v>
                </c:pt>
                <c:pt idx="1">
                  <c:v>24.8</c:v>
                </c:pt>
                <c:pt idx="2">
                  <c:v>23</c:v>
                </c:pt>
                <c:pt idx="3">
                  <c:v>20.8</c:v>
                </c:pt>
                <c:pt idx="4">
                  <c:v>15</c:v>
                </c:pt>
              </c:numCache>
            </c:numRef>
          </c:val>
          <c:extLst>
            <c:ext xmlns:c16="http://schemas.microsoft.com/office/drawing/2014/chart" uri="{C3380CC4-5D6E-409C-BE32-E72D297353CC}">
              <c16:uniqueId val="{00000000-DE9D-48BB-81C0-FA8156CF0F55}"/>
            </c:ext>
          </c:extLst>
        </c:ser>
        <c:dLbls>
          <c:dLblPos val="outEnd"/>
          <c:showLegendKey val="0"/>
          <c:showVal val="1"/>
          <c:showCatName val="0"/>
          <c:showSerName val="0"/>
          <c:showPercent val="0"/>
          <c:showBubbleSize val="0"/>
        </c:dLbls>
        <c:gapWidth val="182"/>
        <c:axId val="540478648"/>
        <c:axId val="540472416"/>
      </c:barChart>
      <c:catAx>
        <c:axId val="54047864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it-IT"/>
          </a:p>
        </c:txPr>
        <c:crossAx val="540472416"/>
        <c:crosses val="autoZero"/>
        <c:auto val="1"/>
        <c:lblAlgn val="ctr"/>
        <c:lblOffset val="100"/>
        <c:noMultiLvlLbl val="0"/>
      </c:catAx>
      <c:valAx>
        <c:axId val="540472416"/>
        <c:scaling>
          <c:orientation val="minMax"/>
        </c:scaling>
        <c:delete val="1"/>
        <c:axPos val="t"/>
        <c:numFmt formatCode="0" sourceLinked="1"/>
        <c:majorTickMark val="none"/>
        <c:minorTickMark val="none"/>
        <c:tickLblPos val="nextTo"/>
        <c:crossAx val="54047864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000">
          <a:solidFill>
            <a:schemeClr val="tx1"/>
          </a:solidFill>
        </a:defRPr>
      </a:pPr>
      <a:endParaRPr lang="it-IT"/>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rgbClr val="002060"/>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dinamica_tipologia_inv_green!$S$52:$S$62</c:f>
              <c:strCache>
                <c:ptCount val="11"/>
                <c:pt idx="0">
                  <c:v>Riduzione dei rifiuti o degli scarti della produzione</c:v>
                </c:pt>
                <c:pt idx="1">
                  <c:v>Utilizzo di energie rinnovabili (fotovoltaico,solare, eolico)</c:v>
                </c:pt>
                <c:pt idx="2">
                  <c:v>Risparmio idrico (intensità idrica dei processi produttivi)</c:v>
                </c:pt>
                <c:pt idx="3">
                  <c:v>Riduzione dei consumi energetici</c:v>
                </c:pt>
                <c:pt idx="4">
                  <c:v>Riuso dei rifiuti o degli scarti della produzione</c:v>
                </c:pt>
                <c:pt idx="5">
                  <c:v>Efficienza energetica degli edifici aziendal</c:v>
                </c:pt>
                <c:pt idx="6">
                  <c:v>Allungamento tempi di vita del prodotto e servizi di manutenzione e riparazione (anche collettiva</c:v>
                </c:pt>
                <c:pt idx="7">
                  <c:v>Riduzione impiego sostanze chimiche nocive, sostituzione di sostanze tradizionali con prodotti di chimica verde: conversione al biologico</c:v>
                </c:pt>
                <c:pt idx="8">
                  <c:v>Riduzione emissioni di CO2 (riduzione impronta di carbonio o ambientale)</c:v>
                </c:pt>
                <c:pt idx="9">
                  <c:v>Aumento dell'utilizzo materie prime seconde (riciclate) e/o rinnovabili (reuse and renewables</c:v>
                </c:pt>
                <c:pt idx="10">
                  <c:v>Riduzione impiego sostanze chimiche nocive, sostituzione di sostanze tradizionali con prodotti di chimica verde: (adozione di un disciplinare di produzione integrata volontaria nell’ambito del SQNPI</c:v>
                </c:pt>
              </c:strCache>
            </c:strRef>
          </c:cat>
          <c:val>
            <c:numRef>
              <c:f>dinamica_tipologia_inv_green!$T$52:$T$62</c:f>
              <c:numCache>
                <c:formatCode>#,##0</c:formatCode>
                <c:ptCount val="11"/>
                <c:pt idx="0">
                  <c:v>63</c:v>
                </c:pt>
                <c:pt idx="1">
                  <c:v>46.8</c:v>
                </c:pt>
                <c:pt idx="2">
                  <c:v>39</c:v>
                </c:pt>
                <c:pt idx="3">
                  <c:v>36.299999999999997</c:v>
                </c:pt>
                <c:pt idx="4">
                  <c:v>27</c:v>
                </c:pt>
                <c:pt idx="5">
                  <c:v>22.9</c:v>
                </c:pt>
                <c:pt idx="6">
                  <c:v>20.5</c:v>
                </c:pt>
                <c:pt idx="7">
                  <c:v>20</c:v>
                </c:pt>
                <c:pt idx="8">
                  <c:v>19.5</c:v>
                </c:pt>
                <c:pt idx="9">
                  <c:v>18.3</c:v>
                </c:pt>
                <c:pt idx="10">
                  <c:v>15.4</c:v>
                </c:pt>
              </c:numCache>
            </c:numRef>
          </c:val>
          <c:extLst>
            <c:ext xmlns:c16="http://schemas.microsoft.com/office/drawing/2014/chart" uri="{C3380CC4-5D6E-409C-BE32-E72D297353CC}">
              <c16:uniqueId val="{00000000-6CA7-433C-B585-83A4F2648EF6}"/>
            </c:ext>
          </c:extLst>
        </c:ser>
        <c:dLbls>
          <c:showLegendKey val="0"/>
          <c:showVal val="0"/>
          <c:showCatName val="0"/>
          <c:showSerName val="0"/>
          <c:showPercent val="0"/>
          <c:showBubbleSize val="0"/>
        </c:dLbls>
        <c:gapWidth val="182"/>
        <c:axId val="499270640"/>
        <c:axId val="499269328"/>
      </c:barChart>
      <c:catAx>
        <c:axId val="49927064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it-IT"/>
          </a:p>
        </c:txPr>
        <c:crossAx val="499269328"/>
        <c:crosses val="autoZero"/>
        <c:auto val="1"/>
        <c:lblAlgn val="ctr"/>
        <c:lblOffset val="100"/>
        <c:noMultiLvlLbl val="0"/>
      </c:catAx>
      <c:valAx>
        <c:axId val="499269328"/>
        <c:scaling>
          <c:orientation val="minMax"/>
        </c:scaling>
        <c:delete val="1"/>
        <c:axPos val="t"/>
        <c:numFmt formatCode="#,##0" sourceLinked="1"/>
        <c:majorTickMark val="none"/>
        <c:minorTickMark val="none"/>
        <c:tickLblPos val="nextTo"/>
        <c:crossAx val="49927064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000">
          <a:solidFill>
            <a:schemeClr val="tx1"/>
          </a:solidFill>
        </a:defRPr>
      </a:pPr>
      <a:endParaRPr lang="it-IT"/>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002060"/>
            </a:solidFill>
            <a:ln>
              <a:noFill/>
            </a:ln>
            <a:effectLst/>
          </c:spPr>
          <c:invertIfNegative val="0"/>
          <c:dPt>
            <c:idx val="1"/>
            <c:invertIfNegative val="0"/>
            <c:bubble3D val="0"/>
            <c:spPr>
              <a:solidFill>
                <a:srgbClr val="0070C0"/>
              </a:solidFill>
              <a:ln>
                <a:noFill/>
              </a:ln>
              <a:effectLst/>
            </c:spPr>
            <c:extLst>
              <c:ext xmlns:c16="http://schemas.microsoft.com/office/drawing/2014/chart" uri="{C3380CC4-5D6E-409C-BE32-E72D297353CC}">
                <c16:uniqueId val="{00000001-6D41-40F3-BD25-ED2D69A3EC46}"/>
              </c:ext>
            </c:extLst>
          </c:dPt>
          <c:dPt>
            <c:idx val="2"/>
            <c:invertIfNegative val="0"/>
            <c:bubble3D val="0"/>
            <c:spPr>
              <a:solidFill>
                <a:srgbClr val="00B0F0"/>
              </a:solidFill>
              <a:ln>
                <a:noFill/>
              </a:ln>
              <a:effectLst/>
            </c:spPr>
            <c:extLst>
              <c:ext xmlns:c16="http://schemas.microsoft.com/office/drawing/2014/chart" uri="{C3380CC4-5D6E-409C-BE32-E72D297353CC}">
                <c16:uniqueId val="{00000003-6D41-40F3-BD25-ED2D69A3EC46}"/>
              </c:ext>
            </c:extLst>
          </c:dPt>
          <c:dPt>
            <c:idx val="3"/>
            <c:invertIfNegative val="0"/>
            <c:bubble3D val="0"/>
            <c:spPr>
              <a:solidFill>
                <a:schemeClr val="accent1">
                  <a:lumMod val="40000"/>
                  <a:lumOff val="60000"/>
                </a:schemeClr>
              </a:solidFill>
              <a:ln>
                <a:noFill/>
              </a:ln>
              <a:effectLst/>
            </c:spPr>
            <c:extLst>
              <c:ext xmlns:c16="http://schemas.microsoft.com/office/drawing/2014/chart" uri="{C3380CC4-5D6E-409C-BE32-E72D297353CC}">
                <c16:uniqueId val="{00000005-6D41-40F3-BD25-ED2D69A3EC46}"/>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Foglio1!$S$39:$S$42</c:f>
              <c:strCache>
                <c:ptCount val="4"/>
                <c:pt idx="0">
                  <c:v>Si</c:v>
                </c:pt>
                <c:pt idx="1">
                  <c:v>No, perché il passaggio generazionale è già stato effettuato</c:v>
                </c:pt>
                <c:pt idx="2">
                  <c:v>No, il passaggio generazionale non è previsto</c:v>
                </c:pt>
                <c:pt idx="3">
                  <c:v>No, nessun problema ad effettuare il passaggio generazionale</c:v>
                </c:pt>
              </c:strCache>
            </c:strRef>
          </c:cat>
          <c:val>
            <c:numRef>
              <c:f>Foglio1!$T$39:$T$42</c:f>
              <c:numCache>
                <c:formatCode>0</c:formatCode>
                <c:ptCount val="4"/>
                <c:pt idx="0">
                  <c:v>13.3</c:v>
                </c:pt>
                <c:pt idx="1">
                  <c:v>20.2</c:v>
                </c:pt>
                <c:pt idx="2">
                  <c:v>7.7</c:v>
                </c:pt>
                <c:pt idx="3">
                  <c:v>58.9</c:v>
                </c:pt>
              </c:numCache>
            </c:numRef>
          </c:val>
          <c:extLst>
            <c:ext xmlns:c16="http://schemas.microsoft.com/office/drawing/2014/chart" uri="{C3380CC4-5D6E-409C-BE32-E72D297353CC}">
              <c16:uniqueId val="{00000006-6D41-40F3-BD25-ED2D69A3EC46}"/>
            </c:ext>
          </c:extLst>
        </c:ser>
        <c:dLbls>
          <c:showLegendKey val="0"/>
          <c:showVal val="0"/>
          <c:showCatName val="0"/>
          <c:showSerName val="0"/>
          <c:showPercent val="0"/>
          <c:showBubbleSize val="0"/>
        </c:dLbls>
        <c:gapWidth val="219"/>
        <c:overlap val="-27"/>
        <c:axId val="90258232"/>
        <c:axId val="90257248"/>
      </c:barChart>
      <c:catAx>
        <c:axId val="90258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it-IT"/>
          </a:p>
        </c:txPr>
        <c:crossAx val="90257248"/>
        <c:crosses val="autoZero"/>
        <c:auto val="1"/>
        <c:lblAlgn val="ctr"/>
        <c:lblOffset val="100"/>
        <c:noMultiLvlLbl val="0"/>
      </c:catAx>
      <c:valAx>
        <c:axId val="90257248"/>
        <c:scaling>
          <c:orientation val="minMax"/>
        </c:scaling>
        <c:delete val="1"/>
        <c:axPos val="l"/>
        <c:numFmt formatCode="0" sourceLinked="1"/>
        <c:majorTickMark val="none"/>
        <c:minorTickMark val="none"/>
        <c:tickLblPos val="nextTo"/>
        <c:crossAx val="9025823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000">
          <a:solidFill>
            <a:schemeClr val="tx1"/>
          </a:solidFill>
        </a:defRPr>
      </a:pPr>
      <a:endParaRPr lang="it-I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A2674-E240-4FE4-917F-F68DA2AEE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 COMUNICATO.dot</Template>
  <TotalTime>8</TotalTime>
  <Pages>4</Pages>
  <Words>1113</Words>
  <Characters>6345</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comunicato stampa</vt:lpstr>
    </vt:vector>
  </TitlesOfParts>
  <Company>Unioncamere</Company>
  <LinksUpToDate>false</LinksUpToDate>
  <CharactersWithSpaces>7444</CharactersWithSpaces>
  <SharedDoc>false</SharedDoc>
  <HLinks>
    <vt:vector size="12" baseType="variant">
      <vt:variant>
        <vt:i4>7405607</vt:i4>
      </vt:variant>
      <vt:variant>
        <vt:i4>-1</vt:i4>
      </vt:variant>
      <vt:variant>
        <vt:i4>2053</vt:i4>
      </vt:variant>
      <vt:variant>
        <vt:i4>4</vt:i4>
      </vt:variant>
      <vt:variant>
        <vt:lpwstr>https://www.tagliacarne.it/</vt:lpwstr>
      </vt:variant>
      <vt:variant>
        <vt:lpwstr/>
      </vt:variant>
      <vt:variant>
        <vt:i4>6553643</vt:i4>
      </vt:variant>
      <vt:variant>
        <vt:i4>-1</vt:i4>
      </vt:variant>
      <vt:variant>
        <vt:i4>2055</vt:i4>
      </vt:variant>
      <vt:variant>
        <vt:i4>4</vt:i4>
      </vt:variant>
      <vt:variant>
        <vt:lpwstr>https://twitter.com/IstTagliacarne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comunicato stampa</dc:title>
  <dc:creator>User</dc:creator>
  <cp:lastModifiedBy>Loredana Capuozzo</cp:lastModifiedBy>
  <cp:revision>6</cp:revision>
  <cp:lastPrinted>2022-09-07T08:30:00Z</cp:lastPrinted>
  <dcterms:created xsi:type="dcterms:W3CDTF">2023-06-07T10:24:00Z</dcterms:created>
  <dcterms:modified xsi:type="dcterms:W3CDTF">2023-06-09T08:41:00Z</dcterms:modified>
</cp:coreProperties>
</file>