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FBAE6" w14:textId="77777777" w:rsidR="004470CF" w:rsidRDefault="004470CF" w:rsidP="00C47093">
      <w:pPr>
        <w:rPr>
          <w:b/>
          <w:sz w:val="28"/>
          <w:szCs w:val="28"/>
        </w:rPr>
      </w:pPr>
    </w:p>
    <w:p w14:paraId="0C920377" w14:textId="77777777" w:rsidR="009950DE" w:rsidRPr="00856C4D" w:rsidRDefault="00B4135E" w:rsidP="00584B49">
      <w:pPr>
        <w:jc w:val="both"/>
        <w:rPr>
          <w:b/>
          <w:sz w:val="32"/>
          <w:szCs w:val="32"/>
        </w:rPr>
      </w:pPr>
      <w:r w:rsidRPr="00856C4D">
        <w:rPr>
          <w:b/>
          <w:sz w:val="32"/>
          <w:szCs w:val="32"/>
        </w:rPr>
        <w:t>IMPRESE AGRICOLE E CAMBIAMENTO</w:t>
      </w:r>
    </w:p>
    <w:p w14:paraId="6858913F" w14:textId="1AF4639E" w:rsidR="004470CF" w:rsidRPr="00033DBC" w:rsidRDefault="00033DBC" w:rsidP="00E40C26">
      <w:pPr>
        <w:jc w:val="both"/>
        <w:rPr>
          <w:b/>
          <w:i/>
          <w:iCs/>
        </w:rPr>
      </w:pPr>
      <w:r w:rsidRPr="00033DBC">
        <w:rPr>
          <w:b/>
          <w:i/>
          <w:iCs/>
        </w:rPr>
        <w:t xml:space="preserve">L’indagine Centro Studi </w:t>
      </w:r>
      <w:r>
        <w:rPr>
          <w:b/>
          <w:i/>
          <w:iCs/>
        </w:rPr>
        <w:t>T</w:t>
      </w:r>
      <w:r w:rsidRPr="00033DBC">
        <w:rPr>
          <w:b/>
          <w:i/>
          <w:iCs/>
        </w:rPr>
        <w:t>agliacarne-Unioncamere</w:t>
      </w:r>
    </w:p>
    <w:p w14:paraId="15B827FC" w14:textId="17061EE9" w:rsidR="00033DBC" w:rsidRPr="00033DBC" w:rsidRDefault="00033DBC" w:rsidP="00E40C26">
      <w:pPr>
        <w:jc w:val="both"/>
        <w:rPr>
          <w:bCs/>
          <w:i/>
          <w:iCs/>
        </w:rPr>
      </w:pPr>
      <w:r w:rsidRPr="00033DBC">
        <w:rPr>
          <w:bCs/>
          <w:i/>
          <w:iCs/>
        </w:rPr>
        <w:t xml:space="preserve">Il presente rapporto si basa sui risultati di un’indagine condotta dal Centro Sudi Tagliacarne-Unioncamere </w:t>
      </w:r>
      <w:r w:rsidR="005D1F93">
        <w:rPr>
          <w:bCs/>
          <w:i/>
          <w:iCs/>
        </w:rPr>
        <w:t xml:space="preserve">a fine </w:t>
      </w:r>
      <w:r w:rsidRPr="00033DBC">
        <w:rPr>
          <w:bCs/>
          <w:i/>
          <w:iCs/>
        </w:rPr>
        <w:t>2022 su un campione statisticamente rappresentativo di 800 imprese agricole con almeno 2 addetti e 20.000 euro di fatturato.</w:t>
      </w:r>
    </w:p>
    <w:p w14:paraId="71D866A2" w14:textId="77777777" w:rsidR="00033DBC" w:rsidRDefault="00033DBC" w:rsidP="00E40C26">
      <w:pPr>
        <w:jc w:val="both"/>
        <w:rPr>
          <w:b/>
        </w:rPr>
      </w:pPr>
    </w:p>
    <w:p w14:paraId="28C91540" w14:textId="77777777" w:rsidR="00ED3F33" w:rsidRPr="00A3534A" w:rsidRDefault="00ED3F33" w:rsidP="00ED3F33">
      <w:pPr>
        <w:jc w:val="both"/>
        <w:rPr>
          <w:b/>
          <w:sz w:val="28"/>
          <w:szCs w:val="28"/>
          <w:u w:val="single"/>
        </w:rPr>
      </w:pPr>
      <w:r w:rsidRPr="00A3534A">
        <w:rPr>
          <w:b/>
          <w:sz w:val="28"/>
          <w:szCs w:val="28"/>
          <w:u w:val="single"/>
        </w:rPr>
        <w:t>CARATTERISTICHE DELL’IMPRESA</w:t>
      </w:r>
    </w:p>
    <w:p w14:paraId="4540F94A" w14:textId="77777777" w:rsidR="00ED3F33" w:rsidRDefault="00ED3F33" w:rsidP="00ED3F33">
      <w:pPr>
        <w:jc w:val="both"/>
        <w:rPr>
          <w:b/>
          <w:sz w:val="28"/>
          <w:szCs w:val="28"/>
        </w:rPr>
      </w:pPr>
    </w:p>
    <w:p w14:paraId="68A858D5" w14:textId="77777777" w:rsidR="00ED3F33" w:rsidRPr="00A3534A" w:rsidRDefault="00ED3F33" w:rsidP="00ED3F33">
      <w:pPr>
        <w:jc w:val="both"/>
        <w:rPr>
          <w:b/>
          <w:u w:val="single"/>
        </w:rPr>
      </w:pPr>
      <w:r>
        <w:rPr>
          <w:b/>
          <w:u w:val="single"/>
        </w:rPr>
        <w:t>CONTROLLO E GESTIONE DELL’AZIENDA</w:t>
      </w:r>
    </w:p>
    <w:p w14:paraId="1D64D220" w14:textId="2FAC2416" w:rsidR="00ED3F33" w:rsidRDefault="00ED3F33" w:rsidP="00ED3F33">
      <w:pPr>
        <w:jc w:val="both"/>
      </w:pPr>
      <w:r w:rsidRPr="007F5F64">
        <w:rPr>
          <w:b/>
        </w:rPr>
        <w:t>Nel 63% delle imprese agricole intervistate sia il controllo (almeno il 50% del capitale) che la gestione dell’impresa sono nelle mani del titolare fondatore e/o della sua famiglia,  mentre nel 27% dei casi  si verifica la situazione  opposta  in cui il titolare fondatore e la sua famiglia non detengono ne uno ne l’altra (si tratta nella grande maggioranza  di imprese agricole cooperative e di società di capitali).  L’11%  delle imprese agricole poi  è controllato dal titolare fondatore e/o dalla sua famiglia che però non le gestiscono direttamente, mentre il caso opposto, gestione ma non controllo, è praticamente assente  (0,1%).</w:t>
      </w:r>
      <w:r>
        <w:t xml:space="preserve"> </w:t>
      </w:r>
    </w:p>
    <w:p w14:paraId="79F12599" w14:textId="7C24C327" w:rsidR="007E72A0" w:rsidRPr="00753CC8" w:rsidRDefault="007E72A0" w:rsidP="00ED3F33">
      <w:pPr>
        <w:jc w:val="both"/>
        <w:rPr>
          <w:b/>
          <w:bCs/>
          <w:i/>
          <w:iCs/>
        </w:rPr>
      </w:pPr>
      <w:r w:rsidRPr="00753CC8">
        <w:rPr>
          <w:b/>
          <w:bCs/>
          <w:i/>
          <w:iCs/>
        </w:rPr>
        <w:t>Struttura di controllo e gestione dell’impresa</w:t>
      </w:r>
      <w:r w:rsidR="00753CC8" w:rsidRPr="00753CC8">
        <w:rPr>
          <w:b/>
          <w:bCs/>
          <w:i/>
          <w:iCs/>
        </w:rPr>
        <w:t xml:space="preserve"> (valori %)</w:t>
      </w:r>
    </w:p>
    <w:p w14:paraId="662C9E9B" w14:textId="3BAA8521" w:rsidR="007E72A0" w:rsidRDefault="00753CC8" w:rsidP="00ED3F33">
      <w:pPr>
        <w:jc w:val="both"/>
      </w:pPr>
      <w:r>
        <w:rPr>
          <w:noProof/>
        </w:rPr>
        <w:drawing>
          <wp:inline distT="0" distB="0" distL="0" distR="0" wp14:anchorId="17C21137" wp14:editId="4B11C64D">
            <wp:extent cx="5806440" cy="2851996"/>
            <wp:effectExtent l="0" t="0" r="3810" b="5715"/>
            <wp:docPr id="1" name="Grafico 1">
              <a:extLst xmlns:a="http://schemas.openxmlformats.org/drawingml/2006/main">
                <a:ext uri="{FF2B5EF4-FFF2-40B4-BE49-F238E27FC236}">
                  <a16:creationId xmlns:a16="http://schemas.microsoft.com/office/drawing/2014/main" id="{C2116207-2EEF-CAA8-75F1-37D0B58548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600B35C" w14:textId="40616C21" w:rsidR="007E72A0" w:rsidRPr="007E72A0" w:rsidRDefault="007E72A0" w:rsidP="00ED3F33">
      <w:pPr>
        <w:jc w:val="both"/>
        <w:rPr>
          <w:i/>
          <w:iCs/>
          <w:sz w:val="20"/>
          <w:szCs w:val="20"/>
        </w:rPr>
      </w:pPr>
      <w:r w:rsidRPr="007E72A0">
        <w:rPr>
          <w:i/>
          <w:iCs/>
          <w:sz w:val="20"/>
          <w:szCs w:val="20"/>
        </w:rPr>
        <w:t>Fonte: Indagine Centro studi Guglielmo Tagliacarne</w:t>
      </w:r>
      <w:r w:rsidR="005B2290">
        <w:rPr>
          <w:i/>
          <w:iCs/>
          <w:sz w:val="20"/>
          <w:szCs w:val="20"/>
        </w:rPr>
        <w:t>-Unioncamere</w:t>
      </w:r>
      <w:r w:rsidRPr="007E72A0">
        <w:rPr>
          <w:i/>
          <w:iCs/>
          <w:sz w:val="20"/>
          <w:szCs w:val="20"/>
        </w:rPr>
        <w:t xml:space="preserve"> 2022</w:t>
      </w:r>
    </w:p>
    <w:p w14:paraId="4A4C1644" w14:textId="5D42A9B6" w:rsidR="00ED3F33" w:rsidRDefault="00ED3F33" w:rsidP="00ED3F33">
      <w:pPr>
        <w:jc w:val="both"/>
      </w:pPr>
      <w:r>
        <w:t xml:space="preserve">Il quadro cambia notevolmente a seconda delle diverse tipologie di impresa.  Le percentuali di imprese dove il controllo e la gestione non sono nelle mani del titolare risultano più elevate della media dove le cooperative agricole sono più diffuse:  nella Pesca (35%), nel Centro Italia (35%). Le percentuali più alte si registrano nelle imprese tra i 10 e 50 addetti (38%) e in quelle con più di 50 addetti (57%), dove oltre alla forma cooperativa </w:t>
      </w:r>
      <w:r>
        <w:lastRenderedPageBreak/>
        <w:t xml:space="preserve">anche le società di capitali sono più presenti. Viceversa  la quota di  quota di imprese controllate e gestite dal titolare è più elevata dove la conduzione familiare è più diffusa: nel Nord-ovest (76%), nelle imprese tra i 2 e i 9 addetti (74%) e nelle imprese condotte da giovani imprenditori (73%).  Il genere dell’imprenditore non  incide, invece, sulle forme di controllo e gestione. </w:t>
      </w:r>
    </w:p>
    <w:p w14:paraId="63FF095D" w14:textId="77777777" w:rsidR="00ED3F33" w:rsidRPr="00A3534A" w:rsidRDefault="00ED3F33" w:rsidP="00ED3F33">
      <w:pPr>
        <w:jc w:val="both"/>
        <w:rPr>
          <w:b/>
          <w:u w:val="single"/>
        </w:rPr>
      </w:pPr>
      <w:r>
        <w:rPr>
          <w:b/>
          <w:u w:val="single"/>
        </w:rPr>
        <w:t>STADIO GENERAZIONALE</w:t>
      </w:r>
    </w:p>
    <w:p w14:paraId="4A172CBF" w14:textId="7EBE644E" w:rsidR="00ED3F33" w:rsidRDefault="00ED3F33" w:rsidP="00ED3F33">
      <w:pPr>
        <w:jc w:val="both"/>
      </w:pPr>
      <w:r w:rsidRPr="007F5F64">
        <w:rPr>
          <w:b/>
        </w:rPr>
        <w:t>Nelle imprese intervistate dove il controllo</w:t>
      </w:r>
      <w:r>
        <w:t xml:space="preserve"> (ma non necessariamente la gestione) </w:t>
      </w:r>
      <w:r w:rsidRPr="007F5F64">
        <w:rPr>
          <w:b/>
        </w:rPr>
        <w:t>è nelle mani del titolare e della sua famiglia, lo stadio generazionale è ancora alla prima generazione di fondatori dell’impresa  per il 4</w:t>
      </w:r>
      <w:r w:rsidR="00753CC8">
        <w:rPr>
          <w:b/>
        </w:rPr>
        <w:t>5</w:t>
      </w:r>
      <w:r w:rsidRPr="007F5F64">
        <w:rPr>
          <w:b/>
        </w:rPr>
        <w:t>% dei casi , il 38% è alla seconda generazione e il 16% alla terza o successiva</w:t>
      </w:r>
      <w:r>
        <w:t xml:space="preserve">. </w:t>
      </w:r>
    </w:p>
    <w:p w14:paraId="691AFDDE" w14:textId="03699CE6" w:rsidR="00753CC8" w:rsidRPr="00753CC8" w:rsidRDefault="00753CC8" w:rsidP="00ED3F33">
      <w:pPr>
        <w:jc w:val="both"/>
        <w:rPr>
          <w:b/>
          <w:bCs/>
          <w:i/>
          <w:iCs/>
        </w:rPr>
      </w:pPr>
      <w:r w:rsidRPr="00753CC8">
        <w:rPr>
          <w:b/>
          <w:bCs/>
          <w:i/>
          <w:iCs/>
        </w:rPr>
        <w:t>Stadio generazionale della proprietà familiare (valori %)</w:t>
      </w:r>
    </w:p>
    <w:p w14:paraId="019E88D4" w14:textId="4F74EE0E" w:rsidR="00753CC8" w:rsidRDefault="00753CC8" w:rsidP="00ED3F33">
      <w:pPr>
        <w:jc w:val="both"/>
      </w:pPr>
      <w:r>
        <w:rPr>
          <w:noProof/>
        </w:rPr>
        <w:drawing>
          <wp:inline distT="0" distB="0" distL="0" distR="0" wp14:anchorId="37B9F803" wp14:editId="7A31297E">
            <wp:extent cx="6027420" cy="2293620"/>
            <wp:effectExtent l="0" t="0" r="0" b="0"/>
            <wp:docPr id="2" name="Grafico 2">
              <a:extLst xmlns:a="http://schemas.openxmlformats.org/drawingml/2006/main">
                <a:ext uri="{FF2B5EF4-FFF2-40B4-BE49-F238E27FC236}">
                  <a16:creationId xmlns:a16="http://schemas.microsoft.com/office/drawing/2014/main" id="{57B12D37-4180-49F5-A463-A8DA7C21C8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EAFEDED" w14:textId="1724EE1C" w:rsidR="00753CC8" w:rsidRPr="007E72A0" w:rsidRDefault="00753CC8" w:rsidP="00753CC8">
      <w:pPr>
        <w:jc w:val="both"/>
        <w:rPr>
          <w:i/>
          <w:iCs/>
          <w:sz w:val="20"/>
          <w:szCs w:val="20"/>
        </w:rPr>
      </w:pPr>
      <w:r w:rsidRPr="007E72A0">
        <w:rPr>
          <w:i/>
          <w:iCs/>
          <w:sz w:val="20"/>
          <w:szCs w:val="20"/>
        </w:rPr>
        <w:t>Fonte: Indagine Centro studi Guglielmo Tagliacarne</w:t>
      </w:r>
      <w:r w:rsidR="009F0D24">
        <w:rPr>
          <w:i/>
          <w:iCs/>
          <w:sz w:val="20"/>
          <w:szCs w:val="20"/>
        </w:rPr>
        <w:t>-Unioncamere</w:t>
      </w:r>
      <w:r w:rsidRPr="007E72A0">
        <w:rPr>
          <w:i/>
          <w:iCs/>
          <w:sz w:val="20"/>
          <w:szCs w:val="20"/>
        </w:rPr>
        <w:t xml:space="preserve"> 2022</w:t>
      </w:r>
    </w:p>
    <w:p w14:paraId="3BAD708C" w14:textId="77777777" w:rsidR="00ED3F33" w:rsidRDefault="00ED3F33" w:rsidP="00ED3F33">
      <w:pPr>
        <w:jc w:val="both"/>
      </w:pPr>
      <w:r>
        <w:t xml:space="preserve">Quest’ultima fattispecie è molto più diffusa (32%)  nelle imprese giovanili a discapito  della prima generazione di fondatori d’impresa (29%), mentre la quota di imprese alla seconda generazione  è molto simile a quella del complesso delle imprese (39%):   più di due terzi dei giovani imprenditori agricoli  non hanno fondato l’impresa ma l’hanno ricevuta in eredità. Nettamente prevalenti, invece, le imprese alla prima generazione di fondatori, e quindi più giovani, nella Silvicoltura (68%) e nel Sud Italia . Per il resto non si osservano particolari differenziazioni tra le diverse tipologie d’impresa agricola, se si esclude una maggiore presenza di imprenditrici alla terza generazione (27%), mentre il confronto con gli altri settori, non registra particolari discrepanze se si eccettua che per le imprese manifatturiere la seconda generazione è più frequente (48%) a discapito della prima generazione di fondatori (35%). </w:t>
      </w:r>
    </w:p>
    <w:p w14:paraId="07C37651" w14:textId="53D64CA0" w:rsidR="00ED3F33" w:rsidRDefault="00ED3F33" w:rsidP="00ED3F33">
      <w:pPr>
        <w:jc w:val="both"/>
      </w:pPr>
      <w:r w:rsidRPr="00541F22">
        <w:rPr>
          <w:b/>
        </w:rPr>
        <w:t>Diversamente da quanto ci si poteva aspettare, vista l’età media molto avanzata degli imprenditori agricoli, le imprese agricole intervistate non denunciano grossi problemi di passaggio generazionale: solo il 13% dichiara di averne e ben il 59% delle risposte non segnala alcun tipo di problema, i casi restanti si dividono tra chi  non ha problemi generazionali perché il passaggio è già stato effettuato (20%) e chi non  ne ha perché il passaggio generazionale non è previsto a breve (8%).</w:t>
      </w:r>
      <w:r>
        <w:t xml:space="preserve">  I problemi di successione sono meno  diffusi nelle imprese silvocolturali (5%) e nelle imprese con più di 50 addetti (6%). L’assenza di problemi perché il passaggio generazionale è già sta effettuato risultano più frequenti  della media, come era prevedibile, per le imprese giovanili (37%) e in quelle femminili (34%).</w:t>
      </w:r>
    </w:p>
    <w:p w14:paraId="5F468159" w14:textId="6762CD9F" w:rsidR="00F15CC1" w:rsidRDefault="00F15CC1" w:rsidP="00ED3F33">
      <w:pPr>
        <w:jc w:val="both"/>
      </w:pPr>
    </w:p>
    <w:p w14:paraId="54774180" w14:textId="61759776" w:rsidR="00C77F77" w:rsidRDefault="00C77F77" w:rsidP="00ED3F33">
      <w:pPr>
        <w:jc w:val="both"/>
      </w:pPr>
    </w:p>
    <w:p w14:paraId="77407CBB" w14:textId="7FFDFD3A" w:rsidR="002A18ED" w:rsidRDefault="002A18ED" w:rsidP="00ED3F33">
      <w:pPr>
        <w:jc w:val="both"/>
      </w:pPr>
    </w:p>
    <w:p w14:paraId="4DE89E78" w14:textId="77777777" w:rsidR="002A18ED" w:rsidRDefault="002A18ED" w:rsidP="00ED3F33">
      <w:pPr>
        <w:jc w:val="both"/>
      </w:pPr>
    </w:p>
    <w:p w14:paraId="70E4C770" w14:textId="2A442E29" w:rsidR="00F15CC1" w:rsidRPr="00F15CC1" w:rsidRDefault="00F15CC1" w:rsidP="00ED3F33">
      <w:pPr>
        <w:jc w:val="both"/>
        <w:rPr>
          <w:b/>
          <w:bCs/>
          <w:i/>
          <w:iCs/>
        </w:rPr>
      </w:pPr>
      <w:r w:rsidRPr="00842372">
        <w:rPr>
          <w:b/>
          <w:bCs/>
          <w:i/>
          <w:iCs/>
        </w:rPr>
        <w:t>Problemi di passaggio generazionale (valori %)</w:t>
      </w:r>
    </w:p>
    <w:p w14:paraId="709EB187" w14:textId="3959A2F8" w:rsidR="00ED3F33" w:rsidRDefault="00F15CC1" w:rsidP="00ED3F33">
      <w:pPr>
        <w:jc w:val="both"/>
        <w:rPr>
          <w:b/>
          <w:u w:val="single"/>
        </w:rPr>
      </w:pPr>
      <w:r>
        <w:rPr>
          <w:noProof/>
        </w:rPr>
        <w:drawing>
          <wp:inline distT="0" distB="0" distL="0" distR="0" wp14:anchorId="442E8810" wp14:editId="25694DB1">
            <wp:extent cx="6088380" cy="2621280"/>
            <wp:effectExtent l="0" t="0" r="0" b="0"/>
            <wp:docPr id="3" name="Grafico 3">
              <a:extLst xmlns:a="http://schemas.openxmlformats.org/drawingml/2006/main">
                <a:ext uri="{FF2B5EF4-FFF2-40B4-BE49-F238E27FC236}">
                  <a16:creationId xmlns:a16="http://schemas.microsoft.com/office/drawing/2014/main" id="{2162529E-6649-4120-96E8-C64195998D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9A42FDD" w14:textId="3A0E2D84" w:rsidR="00ED3F33" w:rsidRDefault="00F15CC1" w:rsidP="00ED3F33">
      <w:pPr>
        <w:jc w:val="both"/>
        <w:rPr>
          <w:i/>
          <w:iCs/>
          <w:sz w:val="20"/>
          <w:szCs w:val="20"/>
        </w:rPr>
      </w:pPr>
      <w:r w:rsidRPr="007E72A0">
        <w:rPr>
          <w:i/>
          <w:iCs/>
          <w:sz w:val="20"/>
          <w:szCs w:val="20"/>
        </w:rPr>
        <w:t>Fonte: Indagine Centro studi Guglielmo Tagliacarne</w:t>
      </w:r>
      <w:r w:rsidR="009F0D24">
        <w:rPr>
          <w:i/>
          <w:iCs/>
          <w:sz w:val="20"/>
          <w:szCs w:val="20"/>
        </w:rPr>
        <w:t>-Unioncamere</w:t>
      </w:r>
      <w:r w:rsidRPr="007E72A0">
        <w:rPr>
          <w:i/>
          <w:iCs/>
          <w:sz w:val="20"/>
          <w:szCs w:val="20"/>
        </w:rPr>
        <w:t xml:space="preserve"> 2022</w:t>
      </w:r>
    </w:p>
    <w:p w14:paraId="4CF4F001" w14:textId="77777777" w:rsidR="00AB6248" w:rsidRPr="00AB6248" w:rsidRDefault="00AB6248" w:rsidP="00ED3F33">
      <w:pPr>
        <w:jc w:val="both"/>
        <w:rPr>
          <w:i/>
          <w:iCs/>
          <w:sz w:val="20"/>
          <w:szCs w:val="20"/>
        </w:rPr>
      </w:pPr>
    </w:p>
    <w:p w14:paraId="5ACD1799" w14:textId="77777777" w:rsidR="00ED3F33" w:rsidRPr="00B84D57" w:rsidRDefault="00ED3F33" w:rsidP="00ED3F33">
      <w:pPr>
        <w:jc w:val="both"/>
        <w:rPr>
          <w:b/>
          <w:u w:val="single"/>
        </w:rPr>
      </w:pPr>
      <w:r w:rsidRPr="00B84D57">
        <w:rPr>
          <w:b/>
          <w:u w:val="single"/>
        </w:rPr>
        <w:t>LIVELLO DI ISTRUZIONE</w:t>
      </w:r>
    </w:p>
    <w:p w14:paraId="090F36BB" w14:textId="77777777" w:rsidR="00ED3F33" w:rsidRPr="00920089" w:rsidRDefault="00ED3F33" w:rsidP="00ED3F33">
      <w:pPr>
        <w:jc w:val="both"/>
        <w:rPr>
          <w:b/>
        </w:rPr>
      </w:pPr>
      <w:r w:rsidRPr="00920089">
        <w:rPr>
          <w:b/>
        </w:rPr>
        <w:t>Il livello di istruzione degli imprenditori agricoli intervistati risulta mediamente basso, come emerge da tutte le indagini statistiche:</w:t>
      </w:r>
    </w:p>
    <w:p w14:paraId="27B357DC" w14:textId="77777777" w:rsidR="00ED3F33" w:rsidRPr="00920089" w:rsidRDefault="00ED3F33" w:rsidP="00ED3F33">
      <w:pPr>
        <w:pStyle w:val="Paragrafoelenco"/>
        <w:numPr>
          <w:ilvl w:val="0"/>
          <w:numId w:val="8"/>
        </w:numPr>
        <w:jc w:val="both"/>
        <w:rPr>
          <w:b/>
          <w:i/>
        </w:rPr>
      </w:pPr>
      <w:r w:rsidRPr="00920089">
        <w:rPr>
          <w:b/>
        </w:rPr>
        <w:t>licenza elementare: 3%</w:t>
      </w:r>
    </w:p>
    <w:p w14:paraId="263E680B" w14:textId="77777777" w:rsidR="00ED3F33" w:rsidRPr="00920089" w:rsidRDefault="00ED3F33" w:rsidP="00ED3F33">
      <w:pPr>
        <w:pStyle w:val="Paragrafoelenco"/>
        <w:numPr>
          <w:ilvl w:val="0"/>
          <w:numId w:val="8"/>
        </w:numPr>
        <w:jc w:val="both"/>
        <w:rPr>
          <w:b/>
          <w:i/>
        </w:rPr>
      </w:pPr>
      <w:r w:rsidRPr="00920089">
        <w:rPr>
          <w:b/>
        </w:rPr>
        <w:t>licenza media: 16%</w:t>
      </w:r>
    </w:p>
    <w:p w14:paraId="432A2EA9" w14:textId="77777777" w:rsidR="00ED3F33" w:rsidRPr="00920089" w:rsidRDefault="00ED3F33" w:rsidP="00ED3F33">
      <w:pPr>
        <w:pStyle w:val="Paragrafoelenco"/>
        <w:numPr>
          <w:ilvl w:val="0"/>
          <w:numId w:val="8"/>
        </w:numPr>
        <w:jc w:val="both"/>
        <w:rPr>
          <w:b/>
          <w:i/>
        </w:rPr>
      </w:pPr>
      <w:r w:rsidRPr="00920089">
        <w:rPr>
          <w:b/>
        </w:rPr>
        <w:t>diploma: 67%</w:t>
      </w:r>
    </w:p>
    <w:p w14:paraId="36018E21" w14:textId="1FEA1A90" w:rsidR="001D0063" w:rsidRPr="001911C4" w:rsidRDefault="00ED3F33" w:rsidP="001D0063">
      <w:pPr>
        <w:pStyle w:val="Paragrafoelenco"/>
        <w:numPr>
          <w:ilvl w:val="0"/>
          <w:numId w:val="8"/>
        </w:numPr>
        <w:jc w:val="both"/>
        <w:rPr>
          <w:b/>
          <w:i/>
        </w:rPr>
      </w:pPr>
      <w:r>
        <w:rPr>
          <w:b/>
        </w:rPr>
        <w:t>laurea: 1</w:t>
      </w:r>
      <w:r w:rsidR="001D0063">
        <w:rPr>
          <w:b/>
        </w:rPr>
        <w:t>3</w:t>
      </w:r>
      <w:r w:rsidRPr="00920089">
        <w:rPr>
          <w:b/>
        </w:rPr>
        <w:t>%</w:t>
      </w:r>
    </w:p>
    <w:p w14:paraId="7309BA16" w14:textId="77777777" w:rsidR="001911C4" w:rsidRPr="001911C4" w:rsidRDefault="001911C4" w:rsidP="001911C4">
      <w:pPr>
        <w:pStyle w:val="Paragrafoelenco"/>
        <w:jc w:val="both"/>
        <w:rPr>
          <w:b/>
          <w:i/>
        </w:rPr>
      </w:pPr>
    </w:p>
    <w:p w14:paraId="10335D77" w14:textId="2867AD8E" w:rsidR="001D0063" w:rsidRPr="001D0063" w:rsidRDefault="001D0063" w:rsidP="001D0063">
      <w:pPr>
        <w:jc w:val="both"/>
        <w:rPr>
          <w:b/>
          <w:i/>
        </w:rPr>
      </w:pPr>
      <w:r>
        <w:rPr>
          <w:b/>
          <w:i/>
        </w:rPr>
        <w:t>Livello di istruzione del titolare dell’azienda (valori%)</w:t>
      </w:r>
    </w:p>
    <w:p w14:paraId="1CAF4956" w14:textId="28495E79" w:rsidR="001D0063" w:rsidRDefault="001D0063" w:rsidP="00ED3F33">
      <w:pPr>
        <w:jc w:val="both"/>
      </w:pPr>
      <w:r>
        <w:rPr>
          <w:noProof/>
        </w:rPr>
        <w:drawing>
          <wp:inline distT="0" distB="0" distL="0" distR="0" wp14:anchorId="04F9E271" wp14:editId="13B07AC1">
            <wp:extent cx="6120130" cy="2697480"/>
            <wp:effectExtent l="0" t="0" r="0" b="0"/>
            <wp:docPr id="6" name="Grafico 6">
              <a:extLst xmlns:a="http://schemas.openxmlformats.org/drawingml/2006/main">
                <a:ext uri="{FF2B5EF4-FFF2-40B4-BE49-F238E27FC236}">
                  <a16:creationId xmlns:a16="http://schemas.microsoft.com/office/drawing/2014/main" id="{8600BB4D-4BA0-4EFE-8BAF-1D34674885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1BA198E" w14:textId="7CBBA541" w:rsidR="001D0063" w:rsidRPr="001D0063" w:rsidRDefault="001D0063" w:rsidP="00ED3F33">
      <w:pPr>
        <w:jc w:val="both"/>
        <w:rPr>
          <w:i/>
          <w:iCs/>
          <w:sz w:val="20"/>
          <w:szCs w:val="20"/>
        </w:rPr>
      </w:pPr>
      <w:r w:rsidRPr="007E72A0">
        <w:rPr>
          <w:i/>
          <w:iCs/>
          <w:sz w:val="20"/>
          <w:szCs w:val="20"/>
        </w:rPr>
        <w:t>Fonte: Indagine Centro studi Guglielmo Tagliacarne</w:t>
      </w:r>
      <w:r w:rsidR="009F0D24">
        <w:rPr>
          <w:i/>
          <w:iCs/>
          <w:sz w:val="20"/>
          <w:szCs w:val="20"/>
        </w:rPr>
        <w:t>-Unioncamere</w:t>
      </w:r>
      <w:r w:rsidRPr="007E72A0">
        <w:rPr>
          <w:i/>
          <w:iCs/>
          <w:sz w:val="20"/>
          <w:szCs w:val="20"/>
        </w:rPr>
        <w:t xml:space="preserve"> 2022</w:t>
      </w:r>
    </w:p>
    <w:p w14:paraId="17588EA7" w14:textId="3CA83969" w:rsidR="00ED3F33" w:rsidRDefault="00ED3F33" w:rsidP="00ED3F33">
      <w:pPr>
        <w:jc w:val="both"/>
      </w:pPr>
      <w:r>
        <w:t>Il dato conferma che la formazione degli imprenditori agricoli dipende più dall’esperienza in campo che non dell’istruzione scolastica, va però segnalato che i risultati del 7° Censimento Agricoltura dell’ISTAT, che fotografa la realtà dell’Agricoltura italiana nel 2020, registrano una decisa crescita del livello di istruzione degli imprenditori agricoli  con una percentuale di  laureati quasi doppia rispetto al 2010, ma segnalano anche una particolarità interessante:  gli imprenditori agricoli in possesso di una laurea attinente con l’agricoltura sono solo circa un quarto di quelli laureati in materie non agrarie.</w:t>
      </w:r>
    </w:p>
    <w:p w14:paraId="3B65626D" w14:textId="73494F86" w:rsidR="00ED3F33" w:rsidRDefault="00ED3F33" w:rsidP="00ED3F33">
      <w:pPr>
        <w:jc w:val="both"/>
        <w:rPr>
          <w:b/>
        </w:rPr>
      </w:pPr>
      <w:r>
        <w:t xml:space="preserve">Le quote di imprenditori laureati risultano superiori alla media nelle imprese agricole con più di 50 addetti (23%), in quelle localizzate  nel Centro Italia (18%), tra le imprese giovanili (26%) e tra quelle femminili (21%); risultano invece inferiori  nella Silvicoltura (6%), nella Pesca (10%) e nelle imprese  localizzate al Sud e nelle Isole (8%). </w:t>
      </w:r>
      <w:r w:rsidRPr="00541F22">
        <w:rPr>
          <w:b/>
        </w:rPr>
        <w:t>La percentuale di imprese condotte da laureati è molto più elevata rispetto alle imprese agricole sia nelle imprese di servizi (30%) che in quelle industriali (27%).</w:t>
      </w:r>
    </w:p>
    <w:p w14:paraId="3B7DCD8F" w14:textId="77777777" w:rsidR="00ED3F33" w:rsidRDefault="00ED3F33" w:rsidP="00ED3F33">
      <w:pPr>
        <w:jc w:val="both"/>
      </w:pPr>
    </w:p>
    <w:p w14:paraId="6443B83F" w14:textId="77777777" w:rsidR="00ED3F33" w:rsidRPr="00180779" w:rsidRDefault="00ED3F33" w:rsidP="00ED3F33">
      <w:pPr>
        <w:jc w:val="both"/>
        <w:rPr>
          <w:b/>
          <w:u w:val="single"/>
        </w:rPr>
      </w:pPr>
      <w:r w:rsidRPr="00180779">
        <w:rPr>
          <w:b/>
          <w:u w:val="single"/>
        </w:rPr>
        <w:t>FATTORI DETERMINANTI PER L’IMPRESA AGRICOLA</w:t>
      </w:r>
    </w:p>
    <w:p w14:paraId="7E94D0C1" w14:textId="5734CB89" w:rsidR="006F7234" w:rsidRDefault="00ED3F33" w:rsidP="00ED3F33">
      <w:pPr>
        <w:jc w:val="both"/>
      </w:pPr>
      <w:r>
        <w:t xml:space="preserve">Sempre per indagare le caratteristiche delle imprese agricole intervistate è stato </w:t>
      </w:r>
      <w:r w:rsidRPr="00A077B9">
        <w:rPr>
          <w:b/>
        </w:rPr>
        <w:t>chiesto quanto sono importanti per l’attività aziendale alcuni fattori peculiari: quello  più importante risulta essere l’andamento della domanda nazionale con il 78% di segnalazioni</w:t>
      </w:r>
      <w:r w:rsidRPr="00AE21F7">
        <w:rPr>
          <w:b/>
        </w:rPr>
        <w:t>, come somma di molto importante (57%) e abbastanza importante (21%), al secondo posto troviamo la misure della Politica Agricola Comunitaria (PAC) e del Piano di Sviluppo Rurale (PSR) con il  59% (32% molto importante e 27% abbastanza importante), seguono i crediti assistiti da garanzia pubblica con il 35% (12% molto e 23% abbastanza) e per ultima la domanda estera con il 26% (rispettivamente rispettivamente 17% e 9%)</w:t>
      </w:r>
      <w:r>
        <w:t>, una percentuale comunque superiore a quella delle imprese che hanno affermato di avere esportato nel 2021 (20%).</w:t>
      </w:r>
    </w:p>
    <w:p w14:paraId="2466AE4B" w14:textId="467A44B0" w:rsidR="006F7234" w:rsidRPr="006F7234" w:rsidRDefault="006F7234" w:rsidP="00ED3F33">
      <w:pPr>
        <w:jc w:val="both"/>
        <w:rPr>
          <w:b/>
          <w:bCs/>
          <w:i/>
          <w:iCs/>
        </w:rPr>
      </w:pPr>
      <w:r w:rsidRPr="006F7234">
        <w:rPr>
          <w:b/>
          <w:bCs/>
          <w:i/>
          <w:iCs/>
        </w:rPr>
        <w:t>Importanza fattori peculiari (valori %)</w:t>
      </w:r>
    </w:p>
    <w:p w14:paraId="1D523E9C" w14:textId="77777777" w:rsidR="006F7234" w:rsidRDefault="006F7234" w:rsidP="00ED3F33">
      <w:pPr>
        <w:jc w:val="both"/>
      </w:pPr>
      <w:r>
        <w:rPr>
          <w:noProof/>
        </w:rPr>
        <w:drawing>
          <wp:inline distT="0" distB="0" distL="0" distR="0" wp14:anchorId="7D99A287" wp14:editId="7461E9A5">
            <wp:extent cx="6080760" cy="2933700"/>
            <wp:effectExtent l="0" t="0" r="0" b="0"/>
            <wp:docPr id="7" name="Grafico 7">
              <a:extLst xmlns:a="http://schemas.openxmlformats.org/drawingml/2006/main">
                <a:ext uri="{FF2B5EF4-FFF2-40B4-BE49-F238E27FC236}">
                  <a16:creationId xmlns:a16="http://schemas.microsoft.com/office/drawing/2014/main" id="{9AB151A8-50D3-6DA7-54E2-2EDF4D2587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50025CD" w14:textId="26AF4DF4" w:rsidR="00ED3F33" w:rsidRPr="006F7234" w:rsidRDefault="006F7234" w:rsidP="00ED3F33">
      <w:pPr>
        <w:jc w:val="both"/>
        <w:rPr>
          <w:i/>
          <w:iCs/>
          <w:sz w:val="20"/>
          <w:szCs w:val="20"/>
        </w:rPr>
      </w:pPr>
      <w:r w:rsidRPr="007E72A0">
        <w:rPr>
          <w:i/>
          <w:iCs/>
          <w:sz w:val="20"/>
          <w:szCs w:val="20"/>
        </w:rPr>
        <w:t>Fonte: Indagine Centro studi Guglielmo Tagliacarne</w:t>
      </w:r>
      <w:r w:rsidR="009F0D24">
        <w:rPr>
          <w:i/>
          <w:iCs/>
          <w:sz w:val="20"/>
          <w:szCs w:val="20"/>
        </w:rPr>
        <w:t>-Unioncamere</w:t>
      </w:r>
      <w:r w:rsidRPr="007E72A0">
        <w:rPr>
          <w:i/>
          <w:iCs/>
          <w:sz w:val="20"/>
          <w:szCs w:val="20"/>
        </w:rPr>
        <w:t xml:space="preserve"> 2022</w:t>
      </w:r>
      <w:r w:rsidR="00ED3F33">
        <w:t xml:space="preserve"> </w:t>
      </w:r>
    </w:p>
    <w:p w14:paraId="20A0186F" w14:textId="77777777" w:rsidR="00ED3F33" w:rsidRDefault="00ED3F33" w:rsidP="00ED3F33">
      <w:pPr>
        <w:jc w:val="both"/>
      </w:pPr>
      <w:r>
        <w:t>Questa graduatoria è comune a tutte le tipologie di imprese, non si segnalano infatti particolari differenziazioni in base all’attività svolta, alla localizzazione, alla dimensione e all’età e al genere dell’imprenditore, se si esclude solo una maggiore  importanza della domanda estera, ovviamente,  per le imprese   che  esportano di più (le imprese con più di 50 addetti,  44%,  quelle di coltivazione, 37%) e viceversa  (quelle della silvicoltura, 4%,  e quelle di minore dimensione, 17%).</w:t>
      </w:r>
    </w:p>
    <w:p w14:paraId="38D6118C" w14:textId="77777777" w:rsidR="00ED3F33" w:rsidRDefault="00ED3F33" w:rsidP="00ED3F33">
      <w:pPr>
        <w:jc w:val="both"/>
      </w:pPr>
    </w:p>
    <w:p w14:paraId="076BFCAF" w14:textId="77777777" w:rsidR="00ED3F33" w:rsidRPr="00B84D57" w:rsidRDefault="00ED3F33" w:rsidP="00ED3F33">
      <w:pPr>
        <w:jc w:val="both"/>
        <w:rPr>
          <w:b/>
          <w:u w:val="single"/>
        </w:rPr>
      </w:pPr>
      <w:r>
        <w:rPr>
          <w:b/>
          <w:u w:val="single"/>
        </w:rPr>
        <w:t>CERTIFICAZIONI</w:t>
      </w:r>
    </w:p>
    <w:p w14:paraId="33C27857" w14:textId="5538AD19" w:rsidR="00257034" w:rsidRDefault="00ED3F33" w:rsidP="00ED3F33">
      <w:pPr>
        <w:jc w:val="both"/>
        <w:rPr>
          <w:b/>
        </w:rPr>
      </w:pPr>
      <w:r>
        <w:rPr>
          <w:b/>
        </w:rPr>
        <w:t>E’</w:t>
      </w:r>
      <w:r w:rsidRPr="00A924F1">
        <w:rPr>
          <w:b/>
        </w:rPr>
        <w:t xml:space="preserve"> stato </w:t>
      </w:r>
      <w:r>
        <w:rPr>
          <w:b/>
        </w:rPr>
        <w:t xml:space="preserve">poi </w:t>
      </w:r>
      <w:r w:rsidRPr="00A924F1">
        <w:rPr>
          <w:b/>
        </w:rPr>
        <w:t>chiesto alle imprese intervistate quale tipo di certificazione possiedano:  quasi la metà (49%) risponde di non avere certificazioni  e di non avere intenzione di investire per ottenerle, per quanto riguarda l’altra metà in possesso di certificazione al primo posto troviamo la certificazione di azienda biologica (2</w:t>
      </w:r>
      <w:r w:rsidR="00257034">
        <w:rPr>
          <w:b/>
        </w:rPr>
        <w:t>1</w:t>
      </w:r>
      <w:r w:rsidRPr="00A924F1">
        <w:rPr>
          <w:b/>
        </w:rPr>
        <w:t>%; una percentuale elevata  se si considera che nel 2021 la superficie certificata biologica è circa il 17% del totale della Superficie Agricola Utilizzata nazionale),  segue al secondo posto la certificazione di qualità (Iso9001 ecc. diffusa soprattutto nella frutticoltura: 21%), al terzo posto troviamo la certificazione ambientale (Iso 50001, Iso14001, EMAS ecc.:11%) e poi la certificazione di agricoltura integrata volontaria (disciplinari regionali, SQNPI: 6%), la certificazione sul rispetto del disciplinare per i prodotti DOP/IGP (5%) e la certificazione sul benessere animale (5%)</w:t>
      </w:r>
      <w:r>
        <w:t>; tutte le altre certificazioni riguardano percentuali di imprese non significative)</w:t>
      </w:r>
      <w:r w:rsidRPr="00A924F1">
        <w:rPr>
          <w:b/>
        </w:rPr>
        <w:t>.</w:t>
      </w:r>
      <w:r>
        <w:rPr>
          <w:b/>
        </w:rPr>
        <w:t xml:space="preserve"> </w:t>
      </w:r>
    </w:p>
    <w:p w14:paraId="7A5573DE" w14:textId="77777777" w:rsidR="001911C4" w:rsidRDefault="001911C4" w:rsidP="00ED3F33">
      <w:pPr>
        <w:jc w:val="both"/>
        <w:rPr>
          <w:b/>
        </w:rPr>
      </w:pPr>
    </w:p>
    <w:p w14:paraId="07E1A8B6" w14:textId="26E47848" w:rsidR="00257034" w:rsidRPr="00257034" w:rsidRDefault="00257034" w:rsidP="00ED3F33">
      <w:pPr>
        <w:jc w:val="both"/>
        <w:rPr>
          <w:b/>
          <w:i/>
          <w:iCs/>
        </w:rPr>
      </w:pPr>
      <w:r w:rsidRPr="00257034">
        <w:rPr>
          <w:b/>
          <w:i/>
          <w:iCs/>
        </w:rPr>
        <w:t>Certificazioni aziendali (valori%)</w:t>
      </w:r>
    </w:p>
    <w:p w14:paraId="506967F2" w14:textId="28A90D17" w:rsidR="00257034" w:rsidRDefault="00257034" w:rsidP="00ED3F33">
      <w:pPr>
        <w:jc w:val="both"/>
        <w:rPr>
          <w:b/>
        </w:rPr>
      </w:pPr>
      <w:r>
        <w:rPr>
          <w:noProof/>
        </w:rPr>
        <w:drawing>
          <wp:inline distT="0" distB="0" distL="0" distR="0" wp14:anchorId="7867EA84" wp14:editId="6B4D4D3C">
            <wp:extent cx="6120130" cy="4220845"/>
            <wp:effectExtent l="0" t="0" r="0" b="0"/>
            <wp:docPr id="10" name="Grafico 10">
              <a:extLst xmlns:a="http://schemas.openxmlformats.org/drawingml/2006/main">
                <a:ext uri="{FF2B5EF4-FFF2-40B4-BE49-F238E27FC236}">
                  <a16:creationId xmlns:a16="http://schemas.microsoft.com/office/drawing/2014/main" id="{D87D377A-50A9-BBCF-E1ED-665452B5B0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645E6CF" w14:textId="65A903F3" w:rsidR="00257034" w:rsidRDefault="00257034" w:rsidP="00ED3F33">
      <w:pPr>
        <w:jc w:val="both"/>
      </w:pPr>
      <w:r w:rsidRPr="007E72A0">
        <w:rPr>
          <w:i/>
          <w:iCs/>
          <w:sz w:val="20"/>
          <w:szCs w:val="20"/>
        </w:rPr>
        <w:t>Fonte: Indagine Centro studi Guglielmo Tagliacarne</w:t>
      </w:r>
      <w:r w:rsidR="009F0D24">
        <w:rPr>
          <w:i/>
          <w:iCs/>
          <w:sz w:val="20"/>
          <w:szCs w:val="20"/>
        </w:rPr>
        <w:t>-Unioncamere</w:t>
      </w:r>
      <w:r w:rsidRPr="007E72A0">
        <w:rPr>
          <w:i/>
          <w:iCs/>
          <w:sz w:val="20"/>
          <w:szCs w:val="20"/>
        </w:rPr>
        <w:t xml:space="preserve"> 2022</w:t>
      </w:r>
      <w:r>
        <w:t xml:space="preserve"> </w:t>
      </w:r>
    </w:p>
    <w:p w14:paraId="20097006" w14:textId="4DD6A124" w:rsidR="009F0D24" w:rsidRPr="009F0D24" w:rsidRDefault="009F0D24" w:rsidP="00ED3F33">
      <w:pPr>
        <w:jc w:val="both"/>
        <w:rPr>
          <w:i/>
          <w:iCs/>
          <w:sz w:val="20"/>
          <w:szCs w:val="20"/>
        </w:rPr>
      </w:pPr>
      <w:r w:rsidRPr="009F0D24">
        <w:rPr>
          <w:i/>
          <w:iCs/>
          <w:sz w:val="20"/>
          <w:szCs w:val="20"/>
        </w:rPr>
        <w:t>*Domanda a risposta multipla</w:t>
      </w:r>
    </w:p>
    <w:p w14:paraId="4A2D1E83" w14:textId="77162316" w:rsidR="00ED3F33" w:rsidRDefault="00ED3F33" w:rsidP="00ED3F33">
      <w:pPr>
        <w:jc w:val="both"/>
      </w:pPr>
      <w:r>
        <w:t>La certificazione biologica è più diffusa tra le imprese giovanili (32%) e nell’agricoltura  (27%), meno invece nella Silvicoltura  (8%; ma qui sarebbe più corretto parlare d Certificazioni Forestali) e nella Pesca (17%;  che riguarda però solo il comparto dell’Acquacoltura); non si rilevano invece particolari  differenziazioni in rapporto alla localizzazione dell’impresa e al  genere dell’imprenditore agricolo.  Le certificazioni di qualità  interessano soprattutto le imprese con più di 50 addetti (43%), che fanno registrare percentuali superiori alla media anche per quanto riguarda il possesso di certificazioni ambientali:  si tratta probabilmente delle grosse cooperative che operano nel settore dell’Ortofrutta, che hanno investito molto in questo tipo di certificazioni come strumento di differenziazione sul mercato. La certificazione sul benessere animale riguarda soprattutto, ovviamente, le imprese zootecniche (18%) e le imprese localizzate nel Nord-ovest: si tratta di certificazioni che si stanno diffondendo sempre di più, poiché l’attenzione del consumatore sul tema del benessere animale è sempre più alta e si traduce in scelte di spesa  che privilegiano i prodotti che garantiscono un rispetto del benessere degli animali che vada oltre gli obblighi di Legge.</w:t>
      </w:r>
    </w:p>
    <w:p w14:paraId="3FF8591D" w14:textId="77777777" w:rsidR="00ED3F33" w:rsidRDefault="00ED3F33" w:rsidP="00ED3F33">
      <w:pPr>
        <w:jc w:val="both"/>
        <w:rPr>
          <w:b/>
        </w:rPr>
      </w:pPr>
    </w:p>
    <w:p w14:paraId="357F78FD" w14:textId="77777777" w:rsidR="00ED3F33" w:rsidRPr="00B84D57" w:rsidRDefault="00ED3F33" w:rsidP="00ED3F33">
      <w:pPr>
        <w:jc w:val="both"/>
        <w:rPr>
          <w:b/>
          <w:u w:val="single"/>
        </w:rPr>
      </w:pPr>
      <w:r>
        <w:rPr>
          <w:b/>
          <w:u w:val="single"/>
        </w:rPr>
        <w:t>CANALI FINANZIARI</w:t>
      </w:r>
    </w:p>
    <w:p w14:paraId="76515860" w14:textId="77777777" w:rsidR="00ED3F33" w:rsidRDefault="00ED3F33" w:rsidP="00ED3F33">
      <w:pPr>
        <w:jc w:val="both"/>
      </w:pPr>
      <w:r w:rsidRPr="00C2480B">
        <w:rPr>
          <w:b/>
        </w:rPr>
        <w:t>Infine è stata rivolta alle imprese agricole una domanda sui canali finanziari utilizzati  per la gestione corrente e per gli investimenti  dell’azienda. Il canale nettamente prevalente e quello del ricorso al capitale proprio o familiare che viene utilizzato dall’86% delle imprese intervistate ( in misura molto consistente  del 76% e poco consistente dal 10%), con percentuali simili per tutte le diverse tipologie di impresa agricola.</w:t>
      </w:r>
      <w:r>
        <w:t xml:space="preserve"> Questo risultato conferma una caratteristica peculiare delle imprese agricole che è la scarsa capitalizzazione delle aziende, dove il capitale aziendale si confonde con quello personale. </w:t>
      </w:r>
    </w:p>
    <w:p w14:paraId="29B84C3E" w14:textId="77777777" w:rsidR="00ED3F33" w:rsidRDefault="00ED3F33" w:rsidP="00ED3F33">
      <w:pPr>
        <w:jc w:val="both"/>
      </w:pPr>
      <w:r w:rsidRPr="00C2480B">
        <w:rPr>
          <w:b/>
        </w:rPr>
        <w:t>Al secondo posto si colloca il finanziamento/credito bancario, al quale ricorre molto il 52% delle imprese, poco il 21% e che non viene utilizzato da più di un quarto delle aziende  intervistate; anche in questo caso senza particolari differenziazioni tra le diverse tipologie di impresa.</w:t>
      </w:r>
      <w:r>
        <w:t xml:space="preserve"> Il rapporto con il credito bancario è una delle maggiori criticità delle imprese agricole italiane e questi dati lo confermano. </w:t>
      </w:r>
    </w:p>
    <w:p w14:paraId="1E51B99F" w14:textId="7668728B" w:rsidR="00ED3F33" w:rsidRDefault="00ED3F33" w:rsidP="00ED3F33">
      <w:pPr>
        <w:jc w:val="both"/>
      </w:pPr>
      <w:r w:rsidRPr="00C2480B">
        <w:rPr>
          <w:b/>
        </w:rPr>
        <w:t>Gli altri canali di finanziamento raccolgono percentuali di risposta di utilizzo molto inferiori:  sorprendentemente i finanziamenti pubblici diretti della PAC e dei PSR solo dal 25% delle aziende (molto  12% e poco 13%), seguono i finanziamenti con Garanzia Confidi (1</w:t>
      </w:r>
      <w:r w:rsidR="00150577">
        <w:rPr>
          <w:b/>
        </w:rPr>
        <w:t>1</w:t>
      </w:r>
      <w:r w:rsidRPr="00C2480B">
        <w:rPr>
          <w:b/>
        </w:rPr>
        <w:t xml:space="preserve">% di cui 2% molto e </w:t>
      </w:r>
      <w:r w:rsidR="00150577">
        <w:rPr>
          <w:b/>
        </w:rPr>
        <w:t>9</w:t>
      </w:r>
      <w:r w:rsidRPr="00C2480B">
        <w:rPr>
          <w:b/>
        </w:rPr>
        <w:t>% poco),  i prestiti assistiti da garanzia pubblica (11% di cui 4% molto e 7% poco), e infine il ricorso ad attività liquide presenti in bilancio  (10% di cui 1% molto e 9% poco)</w:t>
      </w:r>
      <w:r>
        <w:t xml:space="preserve">. </w:t>
      </w:r>
    </w:p>
    <w:p w14:paraId="2C2EC502" w14:textId="77777777" w:rsidR="00AB6248" w:rsidRDefault="00AB6248" w:rsidP="00ED3F33">
      <w:pPr>
        <w:jc w:val="both"/>
        <w:rPr>
          <w:b/>
          <w:bCs/>
          <w:i/>
          <w:iCs/>
        </w:rPr>
      </w:pPr>
    </w:p>
    <w:p w14:paraId="11A6762B" w14:textId="77777777" w:rsidR="00AB6248" w:rsidRDefault="00AB6248" w:rsidP="00ED3F33">
      <w:pPr>
        <w:jc w:val="both"/>
        <w:rPr>
          <w:b/>
          <w:bCs/>
          <w:i/>
          <w:iCs/>
        </w:rPr>
      </w:pPr>
    </w:p>
    <w:p w14:paraId="129BB009" w14:textId="77777777" w:rsidR="00AB6248" w:rsidRDefault="00AB6248" w:rsidP="00ED3F33">
      <w:pPr>
        <w:jc w:val="both"/>
        <w:rPr>
          <w:b/>
          <w:bCs/>
          <w:i/>
          <w:iCs/>
        </w:rPr>
      </w:pPr>
    </w:p>
    <w:p w14:paraId="616FC61C" w14:textId="77777777" w:rsidR="00AB6248" w:rsidRDefault="00AB6248" w:rsidP="00ED3F33">
      <w:pPr>
        <w:jc w:val="both"/>
        <w:rPr>
          <w:b/>
          <w:bCs/>
          <w:i/>
          <w:iCs/>
        </w:rPr>
      </w:pPr>
    </w:p>
    <w:p w14:paraId="3AE27523" w14:textId="77777777" w:rsidR="00AB6248" w:rsidRDefault="00AB6248" w:rsidP="00ED3F33">
      <w:pPr>
        <w:jc w:val="both"/>
        <w:rPr>
          <w:b/>
          <w:bCs/>
          <w:i/>
          <w:iCs/>
        </w:rPr>
      </w:pPr>
    </w:p>
    <w:p w14:paraId="57C9EA60" w14:textId="77777777" w:rsidR="00AB6248" w:rsidRDefault="00AB6248" w:rsidP="00ED3F33">
      <w:pPr>
        <w:jc w:val="both"/>
        <w:rPr>
          <w:b/>
          <w:bCs/>
          <w:i/>
          <w:iCs/>
        </w:rPr>
      </w:pPr>
    </w:p>
    <w:p w14:paraId="18A69176" w14:textId="77777777" w:rsidR="00AB6248" w:rsidRDefault="00AB6248" w:rsidP="00ED3F33">
      <w:pPr>
        <w:jc w:val="both"/>
        <w:rPr>
          <w:b/>
          <w:bCs/>
          <w:i/>
          <w:iCs/>
        </w:rPr>
      </w:pPr>
    </w:p>
    <w:p w14:paraId="79D7FC66" w14:textId="77777777" w:rsidR="00AB6248" w:rsidRDefault="00AB6248" w:rsidP="00ED3F33">
      <w:pPr>
        <w:jc w:val="both"/>
        <w:rPr>
          <w:b/>
          <w:bCs/>
          <w:i/>
          <w:iCs/>
        </w:rPr>
      </w:pPr>
    </w:p>
    <w:p w14:paraId="1FFF4119" w14:textId="49270AD9" w:rsidR="005C7B78" w:rsidRPr="005C7B78" w:rsidRDefault="005C7B78" w:rsidP="00ED3F33">
      <w:pPr>
        <w:jc w:val="both"/>
        <w:rPr>
          <w:b/>
          <w:bCs/>
          <w:i/>
          <w:iCs/>
        </w:rPr>
      </w:pPr>
      <w:r w:rsidRPr="005C7B78">
        <w:rPr>
          <w:b/>
          <w:bCs/>
          <w:i/>
          <w:iCs/>
        </w:rPr>
        <w:t>Strumenti finanziari utilizzati per la gestione ordinaria e le iniziative di investimento (valori %)</w:t>
      </w:r>
    </w:p>
    <w:p w14:paraId="19F20123" w14:textId="74226669" w:rsidR="005C7B78" w:rsidRDefault="00150577" w:rsidP="00ED3F33">
      <w:pPr>
        <w:jc w:val="both"/>
      </w:pPr>
      <w:r>
        <w:rPr>
          <w:noProof/>
        </w:rPr>
        <w:drawing>
          <wp:inline distT="0" distB="0" distL="0" distR="0" wp14:anchorId="75DCAD83" wp14:editId="47711110">
            <wp:extent cx="6111240" cy="3253740"/>
            <wp:effectExtent l="0" t="0" r="0" b="0"/>
            <wp:docPr id="11" name="Grafico 11">
              <a:extLst xmlns:a="http://schemas.openxmlformats.org/drawingml/2006/main">
                <a:ext uri="{FF2B5EF4-FFF2-40B4-BE49-F238E27FC236}">
                  <a16:creationId xmlns:a16="http://schemas.microsoft.com/office/drawing/2014/main" id="{A605E1C3-60F0-44E4-96E8-6A1AFF32E8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6BFBAE4" w14:textId="59B1D9C3" w:rsidR="005C7B78" w:rsidRPr="005C7B78" w:rsidRDefault="005C7B78" w:rsidP="00ED3F33">
      <w:pPr>
        <w:jc w:val="both"/>
        <w:rPr>
          <w:i/>
          <w:iCs/>
          <w:sz w:val="20"/>
          <w:szCs w:val="20"/>
        </w:rPr>
      </w:pPr>
      <w:r w:rsidRPr="007E72A0">
        <w:rPr>
          <w:i/>
          <w:iCs/>
          <w:sz w:val="20"/>
          <w:szCs w:val="20"/>
        </w:rPr>
        <w:t>Fonte: Indagine Centro studi Guglielmo Tagliacarne</w:t>
      </w:r>
      <w:r w:rsidR="009F0D24">
        <w:rPr>
          <w:i/>
          <w:iCs/>
          <w:sz w:val="20"/>
          <w:szCs w:val="20"/>
        </w:rPr>
        <w:t>-Unioncamere</w:t>
      </w:r>
      <w:r w:rsidRPr="007E72A0">
        <w:rPr>
          <w:i/>
          <w:iCs/>
          <w:sz w:val="20"/>
          <w:szCs w:val="20"/>
        </w:rPr>
        <w:t xml:space="preserve"> 2022</w:t>
      </w:r>
      <w:r>
        <w:t xml:space="preserve"> </w:t>
      </w:r>
    </w:p>
    <w:p w14:paraId="10AB04BD" w14:textId="007EC256" w:rsidR="00ED3F33" w:rsidRDefault="00ED3F33" w:rsidP="00ED3F33">
      <w:pPr>
        <w:jc w:val="both"/>
      </w:pPr>
      <w:r>
        <w:t xml:space="preserve">Questa graduatoria è uguale per tutte le tipologie di azienda agricola e non segnalano particolari differenziazioni in base all’attività svolta, alla localizzazione, alla dimensione  e al genere e all’età dell’imprenditore.  </w:t>
      </w:r>
    </w:p>
    <w:p w14:paraId="0BE1732C" w14:textId="5EE30CDB" w:rsidR="00ED3F33" w:rsidRDefault="00ED3F33" w:rsidP="00ED3F33">
      <w:pPr>
        <w:jc w:val="both"/>
      </w:pPr>
      <w:r w:rsidRPr="006702CE">
        <w:rPr>
          <w:b/>
        </w:rPr>
        <w:t>Rispetto alle esigenze di finanziamento dell’azienda  il credito accordato dalla banca</w:t>
      </w:r>
      <w:r w:rsidR="005C7B78">
        <w:rPr>
          <w:b/>
        </w:rPr>
        <w:t xml:space="preserve"> è </w:t>
      </w:r>
      <w:r w:rsidRPr="006702CE">
        <w:rPr>
          <w:b/>
        </w:rPr>
        <w:t>stato ritenuto adeguato (cioè tutto il credito richiesto è stato concesso) da ben il 95% delle aziende intervistate, non del tutto adeguato (cioè inferiore alla richiesta) dal 4%  e inadeguato (concesso con un ammontare molto inferiore alla domanda) dall’1%.</w:t>
      </w:r>
      <w:r>
        <w:t xml:space="preserve">  Queste percentuali di risposta sono molto simili tra tutte le imprese agricole e sembrano evidenziare rapporti con il credito bancario molto positivi, che però vengono smentiti dal limitato ricorso al finanziamento delle Banche da parte  di  queste imprese.</w:t>
      </w:r>
    </w:p>
    <w:p w14:paraId="6091D185" w14:textId="77777777" w:rsidR="00ED3F33" w:rsidRDefault="00ED3F33" w:rsidP="00E40C26">
      <w:pPr>
        <w:jc w:val="both"/>
        <w:rPr>
          <w:b/>
          <w:sz w:val="28"/>
          <w:szCs w:val="28"/>
          <w:u w:val="single"/>
        </w:rPr>
      </w:pPr>
    </w:p>
    <w:p w14:paraId="551FD36D" w14:textId="77777777" w:rsidR="00E40C26" w:rsidRDefault="00856C4D" w:rsidP="00E40C26">
      <w:pPr>
        <w:jc w:val="both"/>
        <w:rPr>
          <w:b/>
          <w:sz w:val="28"/>
          <w:szCs w:val="28"/>
          <w:u w:val="single"/>
        </w:rPr>
      </w:pPr>
      <w:r>
        <w:rPr>
          <w:b/>
          <w:sz w:val="28"/>
          <w:szCs w:val="28"/>
          <w:u w:val="single"/>
        </w:rPr>
        <w:t>A</w:t>
      </w:r>
      <w:r w:rsidR="00ED3F33">
        <w:rPr>
          <w:b/>
          <w:sz w:val="28"/>
          <w:szCs w:val="28"/>
          <w:u w:val="single"/>
        </w:rPr>
        <w:t>ZIONI PER MIGLIORARA LE RELAZIONI CON LA FILIERA E LA COMPETITIVITA’ DELL’IMPRESA</w:t>
      </w:r>
    </w:p>
    <w:p w14:paraId="40FEDCF5" w14:textId="77777777" w:rsidR="00574006" w:rsidRPr="00856C4D" w:rsidRDefault="00574006" w:rsidP="00E40C26">
      <w:pPr>
        <w:jc w:val="both"/>
        <w:rPr>
          <w:b/>
          <w:sz w:val="28"/>
          <w:szCs w:val="28"/>
          <w:u w:val="single"/>
        </w:rPr>
      </w:pPr>
    </w:p>
    <w:p w14:paraId="0C6F6D1D" w14:textId="77777777" w:rsidR="0071543B" w:rsidRDefault="0071543B" w:rsidP="00584B49">
      <w:pPr>
        <w:jc w:val="both"/>
      </w:pPr>
      <w:r>
        <w:t xml:space="preserve">Una parte del questionario è stata dedicata </w:t>
      </w:r>
      <w:r w:rsidR="005A131B">
        <w:t>agli investimenti,</w:t>
      </w:r>
      <w:r w:rsidR="00AE7D19">
        <w:t xml:space="preserve"> agli </w:t>
      </w:r>
      <w:r w:rsidR="005A131B">
        <w:t xml:space="preserve"> interventi</w:t>
      </w:r>
      <w:r w:rsidR="00584B49">
        <w:t xml:space="preserve"> </w:t>
      </w:r>
      <w:r w:rsidR="005A131B">
        <w:t xml:space="preserve">e </w:t>
      </w:r>
      <w:r>
        <w:t>alle relazioni dell’impresa agricola con l’ambiente in cui operano</w:t>
      </w:r>
      <w:r w:rsidR="00BC292E">
        <w:t xml:space="preserve">, </w:t>
      </w:r>
      <w:r>
        <w:t xml:space="preserve"> </w:t>
      </w:r>
      <w:r w:rsidR="00C145B1">
        <w:t xml:space="preserve">con un set di domande tese a rilevare </w:t>
      </w:r>
      <w:r w:rsidR="00BC292E">
        <w:t>le azioni messe in campo con i diversi</w:t>
      </w:r>
      <w:r w:rsidR="003D1B23">
        <w:t xml:space="preserve"> </w:t>
      </w:r>
      <w:r w:rsidR="00BC292E">
        <w:t xml:space="preserve">attori </w:t>
      </w:r>
      <w:r w:rsidR="003D1B23">
        <w:t>che lo popolano</w:t>
      </w:r>
      <w:r w:rsidR="005A131B" w:rsidRPr="005A131B">
        <w:t xml:space="preserve"> </w:t>
      </w:r>
      <w:r w:rsidR="005A131B">
        <w:t>istituzionali e non,</w:t>
      </w:r>
      <w:r w:rsidR="003D1B23">
        <w:t xml:space="preserve">. </w:t>
      </w:r>
    </w:p>
    <w:p w14:paraId="29B9974D" w14:textId="77777777" w:rsidR="004801EF" w:rsidRPr="00AE7D19" w:rsidRDefault="00DE224D" w:rsidP="00584B49">
      <w:pPr>
        <w:jc w:val="both"/>
        <w:rPr>
          <w:b/>
        </w:rPr>
      </w:pPr>
      <w:r w:rsidRPr="00AE7D19">
        <w:rPr>
          <w:b/>
        </w:rPr>
        <w:t>Le imprese agricole intervistate</w:t>
      </w:r>
      <w:r w:rsidR="007F4C80" w:rsidRPr="00AE7D19">
        <w:rPr>
          <w:b/>
        </w:rPr>
        <w:t xml:space="preserve">, rispetto alle imprese industriali e di servizi, </w:t>
      </w:r>
      <w:r w:rsidR="00E40C26" w:rsidRPr="00AE7D19">
        <w:rPr>
          <w:b/>
        </w:rPr>
        <w:t xml:space="preserve"> segnalano una buona</w:t>
      </w:r>
      <w:r w:rsidRPr="00AE7D19">
        <w:rPr>
          <w:b/>
        </w:rPr>
        <w:t xml:space="preserve"> capacità di </w:t>
      </w:r>
      <w:r w:rsidR="00C145B1" w:rsidRPr="00AE7D19">
        <w:rPr>
          <w:b/>
        </w:rPr>
        <w:t xml:space="preserve">interagire </w:t>
      </w:r>
      <w:r w:rsidR="00BC292E" w:rsidRPr="00AE7D19">
        <w:rPr>
          <w:b/>
        </w:rPr>
        <w:t>con l’ambiente esterno per migliorare le relazioni</w:t>
      </w:r>
      <w:r w:rsidRPr="00AE7D19">
        <w:rPr>
          <w:b/>
        </w:rPr>
        <w:t xml:space="preserve"> </w:t>
      </w:r>
      <w:r w:rsidR="00BC292E" w:rsidRPr="00AE7D19">
        <w:rPr>
          <w:b/>
        </w:rPr>
        <w:t xml:space="preserve">con gli attori della filiera e  </w:t>
      </w:r>
      <w:r w:rsidRPr="00AE7D19">
        <w:rPr>
          <w:b/>
        </w:rPr>
        <w:t xml:space="preserve">la propria competitività </w:t>
      </w:r>
      <w:r w:rsidR="0071543B" w:rsidRPr="00AE7D19">
        <w:rPr>
          <w:b/>
        </w:rPr>
        <w:t>in molte del</w:t>
      </w:r>
      <w:r w:rsidR="007F4C80" w:rsidRPr="00AE7D19">
        <w:rPr>
          <w:b/>
        </w:rPr>
        <w:t xml:space="preserve">le tipologie di attività </w:t>
      </w:r>
      <w:r w:rsidR="00422553" w:rsidRPr="00AE7D19">
        <w:rPr>
          <w:b/>
        </w:rPr>
        <w:t xml:space="preserve">di questo tipo </w:t>
      </w:r>
      <w:r w:rsidR="007F4C80" w:rsidRPr="00AE7D19">
        <w:rPr>
          <w:b/>
        </w:rPr>
        <w:t xml:space="preserve">indagate </w:t>
      </w:r>
      <w:r w:rsidR="004801EF" w:rsidRPr="00AE7D19">
        <w:rPr>
          <w:b/>
        </w:rPr>
        <w:t xml:space="preserve"> dal questionario. </w:t>
      </w:r>
    </w:p>
    <w:p w14:paraId="4FEE2D6D" w14:textId="77777777" w:rsidR="007F2B11" w:rsidRDefault="007F4C80" w:rsidP="00584B49">
      <w:pPr>
        <w:jc w:val="both"/>
      </w:pPr>
      <w:r>
        <w:t>In particolare</w:t>
      </w:r>
      <w:r w:rsidR="002C0A7F">
        <w:t xml:space="preserve">, le </w:t>
      </w:r>
      <w:r w:rsidR="002C0A7F" w:rsidRPr="00737843">
        <w:rPr>
          <w:b/>
        </w:rPr>
        <w:t>imprese agricole</w:t>
      </w:r>
      <w:r w:rsidR="00ED3F33">
        <w:t>, rispetto agli altri settori manifatturiero e terziario,</w:t>
      </w:r>
      <w:r w:rsidR="002C0A7F" w:rsidRPr="00737843">
        <w:rPr>
          <w:b/>
        </w:rPr>
        <w:t xml:space="preserve"> mostrano </w:t>
      </w:r>
      <w:r w:rsidR="00AA6D10" w:rsidRPr="00737843">
        <w:rPr>
          <w:b/>
        </w:rPr>
        <w:t>maggi</w:t>
      </w:r>
      <w:r w:rsidR="007F2B11" w:rsidRPr="00737843">
        <w:rPr>
          <w:b/>
        </w:rPr>
        <w:t>ori capacità</w:t>
      </w:r>
      <w:r w:rsidR="007F2B11">
        <w:t xml:space="preserve"> di:</w:t>
      </w:r>
    </w:p>
    <w:p w14:paraId="7F51A13C" w14:textId="77777777" w:rsidR="00DE224D" w:rsidRDefault="00AA6D10" w:rsidP="00584B49">
      <w:pPr>
        <w:pStyle w:val="Paragrafoelenco"/>
        <w:numPr>
          <w:ilvl w:val="0"/>
          <w:numId w:val="2"/>
        </w:numPr>
        <w:jc w:val="both"/>
      </w:pPr>
      <w:r w:rsidRPr="00283EF3">
        <w:rPr>
          <w:b/>
        </w:rPr>
        <w:t>investire sul capitale umano</w:t>
      </w:r>
      <w:r>
        <w:t xml:space="preserve"> dell’azienda</w:t>
      </w:r>
      <w:r w:rsidR="00422553">
        <w:t xml:space="preserve"> per migliorare le competenze e la qualificazione del personale</w:t>
      </w:r>
      <w:r w:rsidR="007F2B11">
        <w:t xml:space="preserve">: il </w:t>
      </w:r>
      <w:r w:rsidR="00422553">
        <w:t>60% delle imprese agricole  di</w:t>
      </w:r>
      <w:r w:rsidR="007F2B11">
        <w:t xml:space="preserve">chiara </w:t>
      </w:r>
      <w:r w:rsidR="00422553">
        <w:t>di avere investito</w:t>
      </w:r>
      <w:r w:rsidR="007F2B11">
        <w:t xml:space="preserve"> in questo campo</w:t>
      </w:r>
      <w:r w:rsidR="00C64CA4">
        <w:t xml:space="preserve"> (la percentuale più alta tra tutte le attività che compongono questo set di domande)</w:t>
      </w:r>
      <w:r w:rsidR="007F2B11">
        <w:t xml:space="preserve">, contro il 51% delle imprese manifatturiere e il </w:t>
      </w:r>
      <w:r w:rsidR="00422553">
        <w:t xml:space="preserve"> 45%</w:t>
      </w:r>
      <w:r w:rsidR="007F2B11">
        <w:t xml:space="preserve"> delle imprese di servizi</w:t>
      </w:r>
      <w:r w:rsidR="00C13DCB">
        <w:t xml:space="preserve">. </w:t>
      </w:r>
      <w:r w:rsidR="00735B03">
        <w:t xml:space="preserve">Sono, naturalmente,  </w:t>
      </w:r>
      <w:r w:rsidR="00735B03" w:rsidRPr="00283EF3">
        <w:rPr>
          <w:b/>
        </w:rPr>
        <w:t>le imprese agricole di maggiore dimensione</w:t>
      </w:r>
      <w:r w:rsidR="00735B03">
        <w:t xml:space="preserve"> quelle che mostrano le percentuali maggiori (73% per quelle tra i 10 e i 49 addetti e 77% per quelle oltre i 50 addetti), mentre un minore ricorso alla formazione (44%) viene dichiarato dalle imprese agricole con prevalenza di proprietà femminile</w:t>
      </w:r>
      <w:r w:rsidR="00283EF3">
        <w:t xml:space="preserve"> </w:t>
      </w:r>
      <w:r w:rsidR="00735B03">
        <w:t xml:space="preserve"> </w:t>
      </w:r>
    </w:p>
    <w:p w14:paraId="79A3778D" w14:textId="77777777" w:rsidR="007F2B11" w:rsidRDefault="007F2B11" w:rsidP="00584B49">
      <w:pPr>
        <w:pStyle w:val="Paragrafoelenco"/>
        <w:numPr>
          <w:ilvl w:val="0"/>
          <w:numId w:val="2"/>
        </w:numPr>
        <w:jc w:val="both"/>
      </w:pPr>
      <w:r>
        <w:t xml:space="preserve">favorire la </w:t>
      </w:r>
      <w:r w:rsidRPr="00737843">
        <w:rPr>
          <w:b/>
        </w:rPr>
        <w:t>partecipazione dei dipendenti allo sviluppo dei progetti di innovazione</w:t>
      </w:r>
      <w:r>
        <w:t>: 42% di imprese agricole  contro il 37% di imprese industriali e il 32% di imprese terziari</w:t>
      </w:r>
      <w:r w:rsidR="008A1D10">
        <w:t xml:space="preserve">e </w:t>
      </w:r>
      <w:r w:rsidR="000A11AE">
        <w:t>. Anche in questo caso son</w:t>
      </w:r>
      <w:r w:rsidR="00B24EF4">
        <w:t>o</w:t>
      </w:r>
      <w:r w:rsidR="00DD5CC5">
        <w:t>,</w:t>
      </w:r>
      <w:r w:rsidR="00B24EF4">
        <w:t xml:space="preserve"> prevedibilmente</w:t>
      </w:r>
      <w:r w:rsidR="00DD5CC5">
        <w:t>,</w:t>
      </w:r>
      <w:r w:rsidR="000A11AE">
        <w:t xml:space="preserve"> </w:t>
      </w:r>
      <w:r w:rsidR="000A11AE" w:rsidRPr="00DD5CC5">
        <w:rPr>
          <w:b/>
        </w:rPr>
        <w:t>le imprese più grandi</w:t>
      </w:r>
      <w:r w:rsidR="000A11AE">
        <w:t xml:space="preserve"> </w:t>
      </w:r>
      <w:r w:rsidR="008A1D10">
        <w:t>, e quindi più st</w:t>
      </w:r>
      <w:r w:rsidR="00C64CA4">
        <w:t>rutturate,</w:t>
      </w:r>
      <w:r w:rsidR="008A1D10">
        <w:t xml:space="preserve"> </w:t>
      </w:r>
      <w:r w:rsidR="00B24EF4">
        <w:t>ad essere maggiormente attive in questo campo</w:t>
      </w:r>
      <w:r w:rsidR="00E40C26">
        <w:t>,</w:t>
      </w:r>
      <w:r w:rsidR="00B24EF4">
        <w:t xml:space="preserve"> con il 55% di risposte positive da parte delle imprese con più di 50 addetti e il 49% di quelli tra i 10 e i 40 addetti</w:t>
      </w:r>
    </w:p>
    <w:p w14:paraId="0F2E46B3" w14:textId="77777777" w:rsidR="00ED126E" w:rsidRDefault="00ED126E" w:rsidP="00584B49">
      <w:pPr>
        <w:pStyle w:val="Paragrafoelenco"/>
        <w:numPr>
          <w:ilvl w:val="0"/>
          <w:numId w:val="2"/>
        </w:numPr>
        <w:jc w:val="both"/>
      </w:pPr>
      <w:r w:rsidRPr="00737843">
        <w:rPr>
          <w:b/>
        </w:rPr>
        <w:t>instaurare collaborazione con le associazioni di categoria</w:t>
      </w:r>
      <w:r>
        <w:t xml:space="preserve"> settoriali/territoriali:  il  37% delle imprese agricole contro 30% delle imprese industriali e il  31% delle imprese di servizi</w:t>
      </w:r>
      <w:r w:rsidR="00DD5CC5">
        <w:t xml:space="preserve">.  A questo proposito possiamo notare una marcata differenziazione dal punto di vista dell’attività svolta, con solo il 23%v di risposte positive nella silvicoltura e bel il 48% nelle </w:t>
      </w:r>
      <w:r w:rsidR="00DD5CC5" w:rsidRPr="00DD5CC5">
        <w:rPr>
          <w:b/>
        </w:rPr>
        <w:t>imprese di allevamento</w:t>
      </w:r>
      <w:r w:rsidR="00DD5CC5">
        <w:t xml:space="preserve">, dove oltre alle Organizzazioni Professionali svolgono </w:t>
      </w:r>
      <w:r w:rsidR="00DD5CC5" w:rsidRPr="0091299F">
        <w:rPr>
          <w:b/>
        </w:rPr>
        <w:t>un importante ruolo di supporto alle imprese anche le Asso</w:t>
      </w:r>
      <w:r w:rsidR="007C3245" w:rsidRPr="0091299F">
        <w:rPr>
          <w:b/>
        </w:rPr>
        <w:t>ciazioni Allevatori, che effettuano</w:t>
      </w:r>
      <w:r w:rsidR="00DD5CC5" w:rsidRPr="0091299F">
        <w:rPr>
          <w:b/>
        </w:rPr>
        <w:t xml:space="preserve"> i controlli funzionali</w:t>
      </w:r>
      <w:r w:rsidR="007C3245" w:rsidRPr="0091299F">
        <w:rPr>
          <w:b/>
        </w:rPr>
        <w:t>, e le Associazioni che detengono i Libri Genealogici, che assistono le imprese zootecniche nell’attività di selezione</w:t>
      </w:r>
      <w:r w:rsidR="0091299F" w:rsidRPr="0091299F">
        <w:rPr>
          <w:b/>
        </w:rPr>
        <w:t xml:space="preserve"> e riproduzione </w:t>
      </w:r>
      <w:r w:rsidR="007C3245" w:rsidRPr="0091299F">
        <w:rPr>
          <w:b/>
        </w:rPr>
        <w:t>.</w:t>
      </w:r>
      <w:r w:rsidR="00DD5CC5" w:rsidRPr="0091299F">
        <w:rPr>
          <w:b/>
        </w:rPr>
        <w:t xml:space="preserve">  </w:t>
      </w:r>
    </w:p>
    <w:p w14:paraId="7D5AF8D8" w14:textId="77777777" w:rsidR="00FF463B" w:rsidRDefault="00084440" w:rsidP="00CB1386">
      <w:pPr>
        <w:pStyle w:val="Paragrafoelenco"/>
        <w:numPr>
          <w:ilvl w:val="0"/>
          <w:numId w:val="2"/>
        </w:numPr>
        <w:jc w:val="both"/>
        <w:rPr>
          <w:rFonts w:cstheme="minorHAnsi"/>
        </w:rPr>
      </w:pPr>
      <w:r w:rsidRPr="00737843">
        <w:rPr>
          <w:b/>
        </w:rPr>
        <w:t>sviluppare partnership con altre imprese</w:t>
      </w:r>
      <w:r w:rsidR="00737843">
        <w:t>, condividendo non solo  mezzi ma anche fini comuni</w:t>
      </w:r>
      <w:r>
        <w:t>:</w:t>
      </w:r>
      <w:r w:rsidR="00737843">
        <w:t xml:space="preserve"> 35% rispetto a</w:t>
      </w:r>
      <w:r w:rsidR="008A1D10">
        <w:t>l</w:t>
      </w:r>
      <w:r w:rsidR="00737843">
        <w:t xml:space="preserve"> 30% </w:t>
      </w:r>
      <w:r w:rsidR="008A1D10">
        <w:t xml:space="preserve">delle imprese manifatturiere </w:t>
      </w:r>
      <w:r w:rsidR="00737843">
        <w:t xml:space="preserve">e </w:t>
      </w:r>
      <w:r w:rsidR="008A1D10">
        <w:t xml:space="preserve">il </w:t>
      </w:r>
      <w:r w:rsidR="00737843">
        <w:t>25%</w:t>
      </w:r>
      <w:r w:rsidR="008A1D10">
        <w:t xml:space="preserve"> di quelle di servizi</w:t>
      </w:r>
      <w:r w:rsidR="007C3245">
        <w:t>.</w:t>
      </w:r>
      <w:r w:rsidR="008A1D10">
        <w:t xml:space="preserve"> </w:t>
      </w:r>
      <w:r w:rsidR="007C3245">
        <w:t xml:space="preserve"> Ancora una volta sono le imprese di maggiori dimensioni </w:t>
      </w:r>
      <w:r w:rsidR="0087186E">
        <w:t xml:space="preserve"> a dichiarare una maggiore capacità di collaborazione con le altre imprese (46% di risposte positive da parte delle imprese con più di 50 addetti e il 43% per quelle tra i 10 e i 49 addetti</w:t>
      </w:r>
      <w:r w:rsidR="00135744">
        <w:t>)</w:t>
      </w:r>
      <w:r w:rsidR="0002051D">
        <w:t xml:space="preserve">;  dal punto di vista settoriale, </w:t>
      </w:r>
      <w:r w:rsidR="00BF0F2A">
        <w:t xml:space="preserve"> sono </w:t>
      </w:r>
      <w:r w:rsidR="0002051D">
        <w:t xml:space="preserve">invece </w:t>
      </w:r>
      <w:r w:rsidR="00BF0F2A">
        <w:t xml:space="preserve">le imprese che svolgono attività di </w:t>
      </w:r>
      <w:r w:rsidR="00BF0F2A" w:rsidRPr="0002051D">
        <w:rPr>
          <w:b/>
        </w:rPr>
        <w:t xml:space="preserve">coltivazione </w:t>
      </w:r>
      <w:r w:rsidR="00BF0F2A">
        <w:t xml:space="preserve">quelle che </w:t>
      </w:r>
      <w:r w:rsidR="00BF0F2A" w:rsidRPr="00281EA7">
        <w:rPr>
          <w:b/>
        </w:rPr>
        <w:t>mostrano le frequen</w:t>
      </w:r>
      <w:r w:rsidR="0002051D" w:rsidRPr="00281EA7">
        <w:rPr>
          <w:b/>
        </w:rPr>
        <w:t>ze più elevate di partnership con altre imprese</w:t>
      </w:r>
      <w:r w:rsidR="00BF0F2A" w:rsidRPr="00281EA7">
        <w:rPr>
          <w:b/>
        </w:rPr>
        <w:t>,</w:t>
      </w:r>
      <w:r w:rsidR="0002051D" w:rsidRPr="00281EA7">
        <w:rPr>
          <w:b/>
        </w:rPr>
        <w:t xml:space="preserve"> molto </w:t>
      </w:r>
      <w:r w:rsidR="00BF0F2A" w:rsidRPr="00281EA7">
        <w:rPr>
          <w:b/>
        </w:rPr>
        <w:t xml:space="preserve"> </w:t>
      </w:r>
      <w:r w:rsidR="001605D0" w:rsidRPr="00281EA7">
        <w:rPr>
          <w:b/>
        </w:rPr>
        <w:t xml:space="preserve">probabilmente </w:t>
      </w:r>
      <w:r w:rsidR="00281EA7" w:rsidRPr="00281EA7">
        <w:rPr>
          <w:b/>
        </w:rPr>
        <w:t>grazie</w:t>
      </w:r>
      <w:r w:rsidR="001605D0" w:rsidRPr="00281EA7">
        <w:rPr>
          <w:b/>
        </w:rPr>
        <w:t xml:space="preserve"> </w:t>
      </w:r>
      <w:r w:rsidR="00BF0F2A" w:rsidRPr="00281EA7">
        <w:rPr>
          <w:b/>
        </w:rPr>
        <w:t xml:space="preserve">alla </w:t>
      </w:r>
      <w:r w:rsidR="0002051D" w:rsidRPr="00281EA7">
        <w:rPr>
          <w:b/>
        </w:rPr>
        <w:t xml:space="preserve">sempre maggiore diffusione </w:t>
      </w:r>
      <w:r w:rsidR="00BF0F2A" w:rsidRPr="00281EA7">
        <w:rPr>
          <w:b/>
        </w:rPr>
        <w:t xml:space="preserve">dei contratti di </w:t>
      </w:r>
      <w:r w:rsidR="00104CB7" w:rsidRPr="00281EA7">
        <w:rPr>
          <w:rFonts w:cstheme="minorHAnsi"/>
          <w:b/>
        </w:rPr>
        <w:t xml:space="preserve">coltivazione e </w:t>
      </w:r>
      <w:r w:rsidR="0002051D" w:rsidRPr="00281EA7">
        <w:rPr>
          <w:rFonts w:cstheme="minorHAnsi"/>
          <w:b/>
        </w:rPr>
        <w:t xml:space="preserve">dei contratti </w:t>
      </w:r>
      <w:r w:rsidR="00104CB7" w:rsidRPr="00281EA7">
        <w:rPr>
          <w:rFonts w:cstheme="minorHAnsi"/>
          <w:b/>
        </w:rPr>
        <w:t>di filiera</w:t>
      </w:r>
      <w:r w:rsidR="0002051D" w:rsidRPr="00281EA7">
        <w:rPr>
          <w:rFonts w:cstheme="minorHAnsi"/>
          <w:b/>
        </w:rPr>
        <w:t xml:space="preserve">, che sembrano essere le innovazioni organizzative </w:t>
      </w:r>
      <w:r w:rsidR="00281EA7" w:rsidRPr="00281EA7">
        <w:rPr>
          <w:rFonts w:cstheme="minorHAnsi"/>
          <w:b/>
        </w:rPr>
        <w:t>destinate ad incidere maggiormente sul settore delle coltivazioni.</w:t>
      </w:r>
      <w:r w:rsidR="00281EA7">
        <w:rPr>
          <w:rFonts w:cstheme="minorHAnsi"/>
          <w:b/>
        </w:rPr>
        <w:t xml:space="preserve">  </w:t>
      </w:r>
      <w:r w:rsidR="00281EA7" w:rsidRPr="00281EA7">
        <w:rPr>
          <w:rFonts w:cstheme="minorHAnsi"/>
        </w:rPr>
        <w:t>I contratti di coltivazione</w:t>
      </w:r>
      <w:r w:rsidR="00395EA2">
        <w:rPr>
          <w:rFonts w:cstheme="minorHAnsi"/>
        </w:rPr>
        <w:t xml:space="preserve"> interess</w:t>
      </w:r>
      <w:r w:rsidR="00281EA7">
        <w:rPr>
          <w:rFonts w:cstheme="minorHAnsi"/>
        </w:rPr>
        <w:t xml:space="preserve">ano soprattutto il comparto dei cereali, in particolare quello del grano duro, </w:t>
      </w:r>
      <w:r w:rsidR="00395EA2">
        <w:rPr>
          <w:rFonts w:cstheme="minorHAnsi"/>
        </w:rPr>
        <w:t>e r</w:t>
      </w:r>
      <w:r w:rsidR="00462FCE">
        <w:rPr>
          <w:rFonts w:cstheme="minorHAnsi"/>
        </w:rPr>
        <w:t xml:space="preserve">iguardano </w:t>
      </w:r>
      <w:r w:rsidR="00395EA2">
        <w:rPr>
          <w:rFonts w:cstheme="minorHAnsi"/>
        </w:rPr>
        <w:t>accordi  focalizzati sulla fase commerciale tra imprese agricole e di trasformazione, che prevedono</w:t>
      </w:r>
      <w:r w:rsidR="00462FCE">
        <w:rPr>
          <w:rFonts w:cstheme="minorHAnsi"/>
        </w:rPr>
        <w:t>,</w:t>
      </w:r>
      <w:r w:rsidR="00395EA2">
        <w:rPr>
          <w:rFonts w:cstheme="minorHAnsi"/>
        </w:rPr>
        <w:t xml:space="preserve"> </w:t>
      </w:r>
      <w:r w:rsidR="00462FCE">
        <w:rPr>
          <w:rFonts w:cstheme="minorHAnsi"/>
        </w:rPr>
        <w:t xml:space="preserve">da un lato, il rispetto di rigidi disciplinari di produzione e, dall’altro, </w:t>
      </w:r>
      <w:r w:rsidR="00395EA2">
        <w:rPr>
          <w:rFonts w:cstheme="minorHAnsi"/>
        </w:rPr>
        <w:t>la fissazione di un prezzo minimo stabilito, con una scala di premialità legata al raggiungimento di  determinati standard qualitativi</w:t>
      </w:r>
      <w:r w:rsidR="00462FCE">
        <w:rPr>
          <w:rFonts w:cstheme="minorHAnsi"/>
        </w:rPr>
        <w:t>.  I contratti di filiera</w:t>
      </w:r>
      <w:r w:rsidR="008E3455">
        <w:rPr>
          <w:rFonts w:cstheme="minorHAnsi"/>
        </w:rPr>
        <w:t xml:space="preserve"> sono</w:t>
      </w:r>
      <w:r w:rsidR="00462FCE">
        <w:rPr>
          <w:rFonts w:cstheme="minorHAnsi"/>
        </w:rPr>
        <w:t xml:space="preserve">, invece,  accordi di integrazione di medio-lungo periodo tra i diversi attori della filiera </w:t>
      </w:r>
      <w:r w:rsidR="00CB1386">
        <w:rPr>
          <w:rFonts w:cstheme="minorHAnsi"/>
        </w:rPr>
        <w:t xml:space="preserve">con la concertazione di investimenti  produttivi, di marketing/pubblicità, di ricerca comune </w:t>
      </w:r>
      <w:r w:rsidR="008E3455">
        <w:rPr>
          <w:rFonts w:cstheme="minorHAnsi"/>
        </w:rPr>
        <w:t>ecc.</w:t>
      </w:r>
      <w:r w:rsidR="00CB1386">
        <w:rPr>
          <w:rFonts w:cstheme="minorHAnsi"/>
        </w:rPr>
        <w:t xml:space="preserve"> e la fissazione di parametri  concordati per la fissazione dei prezzi dei prodotti scambiati.</w:t>
      </w:r>
      <w:r w:rsidR="006546BC">
        <w:rPr>
          <w:rFonts w:cstheme="minorHAnsi"/>
        </w:rPr>
        <w:t xml:space="preserve">  La sempre maggiore volatiltà dei prezzi dei prodotti agricoli e il </w:t>
      </w:r>
      <w:r w:rsidR="00CB1386">
        <w:rPr>
          <w:rFonts w:cstheme="minorHAnsi"/>
        </w:rPr>
        <w:t xml:space="preserve"> sempre maggiore apprezzamento da parte del consumatore dei prodotti alimentari che si possano fregiare della etichetta “materie prime 100% Made in Italy” </w:t>
      </w:r>
      <w:r w:rsidR="008E3455">
        <w:rPr>
          <w:rFonts w:cstheme="minorHAnsi"/>
        </w:rPr>
        <w:t xml:space="preserve">(soprattutto nella filiera grano duro- pasta) </w:t>
      </w:r>
      <w:r w:rsidR="00CB1386">
        <w:rPr>
          <w:rFonts w:cstheme="minorHAnsi"/>
        </w:rPr>
        <w:t xml:space="preserve">ha dato un forte impulso alla diffusione di queste due tipologie di contratti, ma bisogna osservare che essi riguardano ancora una quota largamente minoritaria sul totale:  </w:t>
      </w:r>
      <w:r w:rsidR="00CB1386" w:rsidRPr="00CB1386">
        <w:rPr>
          <w:rFonts w:cstheme="minorHAnsi"/>
        </w:rPr>
        <w:t xml:space="preserve"> </w:t>
      </w:r>
      <w:r w:rsidR="00462FCE" w:rsidRPr="00CB1386">
        <w:rPr>
          <w:rFonts w:cstheme="minorHAnsi"/>
        </w:rPr>
        <w:t xml:space="preserve"> </w:t>
      </w:r>
      <w:r w:rsidR="006546BC">
        <w:rPr>
          <w:rFonts w:cstheme="minorHAnsi"/>
        </w:rPr>
        <w:t>l’agricoltore tradizionale ricorre ancora prevalentemente ai contratti di compravendita “a pronti”</w:t>
      </w:r>
      <w:r w:rsidR="008E3455">
        <w:rPr>
          <w:rFonts w:cstheme="minorHAnsi"/>
        </w:rPr>
        <w:t>,</w:t>
      </w:r>
      <w:r w:rsidR="006546BC">
        <w:rPr>
          <w:rFonts w:cstheme="minorHAnsi"/>
        </w:rPr>
        <w:t xml:space="preserve"> preferendo giocare d’</w:t>
      </w:r>
      <w:r w:rsidR="008E3455">
        <w:rPr>
          <w:rFonts w:cstheme="minorHAnsi"/>
        </w:rPr>
        <w:t>azzardo e</w:t>
      </w:r>
      <w:r w:rsidR="006546BC">
        <w:rPr>
          <w:rFonts w:cstheme="minorHAnsi"/>
        </w:rPr>
        <w:t xml:space="preserve"> sperando in prezzi crescenti sul mercato libero.</w:t>
      </w:r>
    </w:p>
    <w:p w14:paraId="26098309" w14:textId="77777777" w:rsidR="00E77947" w:rsidRDefault="00737843" w:rsidP="00E77947">
      <w:pPr>
        <w:pStyle w:val="Paragrafoelenco"/>
        <w:numPr>
          <w:ilvl w:val="0"/>
          <w:numId w:val="2"/>
        </w:numPr>
        <w:jc w:val="both"/>
      </w:pPr>
      <w:r w:rsidRPr="008E3455">
        <w:rPr>
          <w:b/>
        </w:rPr>
        <w:t>instaurare collaborazione con le istituzioni territoriali</w:t>
      </w:r>
      <w:r>
        <w:rPr>
          <w:b/>
        </w:rPr>
        <w:t xml:space="preserve"> </w:t>
      </w:r>
      <w:r>
        <w:t>(Regioni, Comuni, Camere di Commercio</w:t>
      </w:r>
      <w:r w:rsidR="005156CF">
        <w:t xml:space="preserve"> ecc.):  il </w:t>
      </w:r>
      <w:r w:rsidR="0071543B">
        <w:t xml:space="preserve">30% </w:t>
      </w:r>
      <w:r w:rsidR="006F5335">
        <w:t xml:space="preserve">le imprese agricole </w:t>
      </w:r>
      <w:r w:rsidR="0071543B">
        <w:t xml:space="preserve">contro </w:t>
      </w:r>
      <w:r w:rsidR="005156CF">
        <w:t xml:space="preserve">il </w:t>
      </w:r>
      <w:r w:rsidR="0071543B">
        <w:t xml:space="preserve">15% </w:t>
      </w:r>
      <w:r w:rsidR="006F5335">
        <w:t>sia delle imprese industriali ch</w:t>
      </w:r>
      <w:r w:rsidR="0071543B">
        <w:t>e</w:t>
      </w:r>
      <w:r w:rsidR="006F5335">
        <w:t xml:space="preserve"> delle imprese  terziarie. In questo campo</w:t>
      </w:r>
      <w:r w:rsidR="005156CF">
        <w:t xml:space="preserve"> non si riscontrano differenziazioni</w:t>
      </w:r>
      <w:r w:rsidR="00E77947">
        <w:t xml:space="preserve"> significative in base alla dimensione dell’impresa agricola o alla attività svolta, mentre si segnala una</w:t>
      </w:r>
      <w:r w:rsidR="00E77947" w:rsidRPr="008E3455">
        <w:rPr>
          <w:b/>
        </w:rPr>
        <w:t xml:space="preserve"> maggiore</w:t>
      </w:r>
      <w:r w:rsidR="00E77947" w:rsidRPr="00485D45">
        <w:rPr>
          <w:b/>
        </w:rPr>
        <w:t xml:space="preserve"> </w:t>
      </w:r>
      <w:r w:rsidR="00E77947">
        <w:t xml:space="preserve">collaborazione per le imprese agricole localizzate nel </w:t>
      </w:r>
      <w:r w:rsidR="00E77947" w:rsidRPr="008E3455">
        <w:rPr>
          <w:b/>
        </w:rPr>
        <w:t xml:space="preserve"> nord-es</w:t>
      </w:r>
      <w:r w:rsidR="00E77947" w:rsidRPr="00E77947">
        <w:rPr>
          <w:b/>
        </w:rPr>
        <w:t>t</w:t>
      </w:r>
      <w:r w:rsidR="00E77947">
        <w:t xml:space="preserve"> (37%</w:t>
      </w:r>
      <w:r w:rsidR="008E3455">
        <w:t xml:space="preserve">; </w:t>
      </w:r>
      <w:r w:rsidR="008E3455">
        <w:rPr>
          <w:b/>
          <w:i/>
        </w:rPr>
        <w:t xml:space="preserve">in questa area si trovano </w:t>
      </w:r>
      <w:r w:rsidR="004311F6">
        <w:rPr>
          <w:b/>
          <w:i/>
        </w:rPr>
        <w:t>le Regioni Veneto ed Emilia Romagna, due Regioni particolarmente attive nel settore agricoltura</w:t>
      </w:r>
      <w:r w:rsidR="004311F6">
        <w:t>)</w:t>
      </w:r>
      <w:r w:rsidR="00E77947">
        <w:t xml:space="preserve"> e viceversa una</w:t>
      </w:r>
      <w:r w:rsidR="00E77947" w:rsidRPr="008E3455">
        <w:rPr>
          <w:b/>
        </w:rPr>
        <w:t xml:space="preserve"> minor</w:t>
      </w:r>
      <w:r w:rsidR="00E77947" w:rsidRPr="00485D45">
        <w:rPr>
          <w:b/>
        </w:rPr>
        <w:t>e</w:t>
      </w:r>
      <w:r w:rsidR="00E77947">
        <w:t xml:space="preserve"> collaborazione con le istituzioni territoriali del</w:t>
      </w:r>
      <w:r w:rsidR="00E77947" w:rsidRPr="008E3455">
        <w:rPr>
          <w:b/>
        </w:rPr>
        <w:t xml:space="preserve"> meridione e delle isol</w:t>
      </w:r>
      <w:r w:rsidR="00E77947" w:rsidRPr="00485D45">
        <w:rPr>
          <w:b/>
        </w:rPr>
        <w:t>e</w:t>
      </w:r>
      <w:r w:rsidR="00E77947">
        <w:t>.</w:t>
      </w:r>
    </w:p>
    <w:p w14:paraId="55F4C0D1" w14:textId="77777777" w:rsidR="00ED126E" w:rsidRDefault="005A131B" w:rsidP="00584B49">
      <w:pPr>
        <w:jc w:val="both"/>
      </w:pPr>
      <w:r>
        <w:t>Tre</w:t>
      </w:r>
      <w:r w:rsidR="00ED126E">
        <w:t xml:space="preserve"> sono le aree di </w:t>
      </w:r>
      <w:r>
        <w:t xml:space="preserve">attività e di </w:t>
      </w:r>
      <w:r w:rsidR="00163213">
        <w:t xml:space="preserve">relazione con attori (istituzionali) che mostrano un </w:t>
      </w:r>
      <w:r w:rsidR="00163213" w:rsidRPr="00F7541F">
        <w:rPr>
          <w:b/>
        </w:rPr>
        <w:t>minor dinamismo delle imprese agricole</w:t>
      </w:r>
      <w:r w:rsidR="00163213">
        <w:t xml:space="preserve"> intervistate rispetto alle imprese degli altri settori</w:t>
      </w:r>
      <w:r w:rsidR="009A2A89">
        <w:t xml:space="preserve"> </w:t>
      </w:r>
      <w:r w:rsidR="00163213">
        <w:t>:</w:t>
      </w:r>
    </w:p>
    <w:p w14:paraId="2995F5E2" w14:textId="77777777" w:rsidR="00F7541F" w:rsidRDefault="00C50E7A" w:rsidP="00F7541F">
      <w:pPr>
        <w:pStyle w:val="Paragrafoelenco"/>
        <w:numPr>
          <w:ilvl w:val="0"/>
          <w:numId w:val="4"/>
        </w:numPr>
        <w:jc w:val="both"/>
      </w:pPr>
      <w:r>
        <w:t xml:space="preserve">in primo luogo il </w:t>
      </w:r>
      <w:r w:rsidRPr="00C50E7A">
        <w:rPr>
          <w:b/>
        </w:rPr>
        <w:t>mondo bancario,</w:t>
      </w:r>
      <w:r>
        <w:t xml:space="preserve"> </w:t>
      </w:r>
      <w:r w:rsidR="00485D45">
        <w:t xml:space="preserve">rispetto al quale, come vedremo, si riscontrano le maggiori criticità per le imprese agricole, </w:t>
      </w:r>
      <w:r>
        <w:t xml:space="preserve">dove i rapporti si sono rafforzati solo per il 31% delle imprese agricole intervistate, decisamente inferiore </w:t>
      </w:r>
      <w:r w:rsidR="005A131B">
        <w:t>al 4</w:t>
      </w:r>
      <w:r>
        <w:t>5% delle imprese di manifattura e al 40% delle imprese di servizi</w:t>
      </w:r>
      <w:r w:rsidR="00485D45">
        <w:t>.</w:t>
      </w:r>
      <w:r w:rsidR="00F7541F">
        <w:t xml:space="preserve"> I problemi maggiori vengono dichiarati dalle </w:t>
      </w:r>
      <w:r w:rsidR="00F7541F" w:rsidRPr="00F7541F">
        <w:rPr>
          <w:b/>
        </w:rPr>
        <w:t>imprese della silvicoltura</w:t>
      </w:r>
      <w:r w:rsidR="00F7541F">
        <w:t xml:space="preserve"> (solo il 22% dichiara di avere instaurato/rafforzato i rapporti con il mondo bancario), mentre per quanto riguarda la localizzazione delle imprese sono quelle del </w:t>
      </w:r>
      <w:r w:rsidR="00F7541F" w:rsidRPr="0022704D">
        <w:rPr>
          <w:b/>
        </w:rPr>
        <w:t>sud e delle isole</w:t>
      </w:r>
      <w:r w:rsidR="00F7541F">
        <w:t xml:space="preserve"> che mostrano la percentuale più bassa (26%).  Infine più attive le imprese con più di 50 addetti, che nel 41% dei casi dichiara di avere rafforzato i rapporti</w:t>
      </w:r>
      <w:r w:rsidR="002E293A">
        <w:t xml:space="preserve"> e quelle giovanili (35%)</w:t>
      </w:r>
      <w:r w:rsidR="00F7541F">
        <w:t>.</w:t>
      </w:r>
      <w:r w:rsidR="002E293A">
        <w:t xml:space="preserve"> </w:t>
      </w:r>
    </w:p>
    <w:p w14:paraId="79069E6A" w14:textId="77777777" w:rsidR="00163213" w:rsidRDefault="00C50E7A" w:rsidP="00584B49">
      <w:pPr>
        <w:pStyle w:val="Paragrafoelenco"/>
        <w:numPr>
          <w:ilvl w:val="0"/>
          <w:numId w:val="3"/>
        </w:numPr>
        <w:jc w:val="both"/>
      </w:pPr>
      <w:r>
        <w:t xml:space="preserve">inferiore anche la percentuale di imprese agricole che hanno collaborato con la </w:t>
      </w:r>
      <w:r w:rsidRPr="00735B03">
        <w:rPr>
          <w:b/>
        </w:rPr>
        <w:t xml:space="preserve">Scuola </w:t>
      </w:r>
      <w:r>
        <w:t xml:space="preserve">per  accogliere </w:t>
      </w:r>
      <w:r w:rsidRPr="00735B03">
        <w:t>iniziative di alternanza scuola-lavoro</w:t>
      </w:r>
      <w:r>
        <w:t xml:space="preserve"> con stage o tirocini (25% contro il 33% delle imprese industriali e il 31% delle imprese di servizi</w:t>
      </w:r>
      <w:r w:rsidR="0022704D">
        <w:t>)</w:t>
      </w:r>
      <w:r w:rsidR="00F7541F">
        <w:t>.</w:t>
      </w:r>
      <w:r w:rsidR="0022704D">
        <w:t xml:space="preserve"> Particolarmente bassa</w:t>
      </w:r>
      <w:r w:rsidR="00EC602C">
        <w:t xml:space="preserve"> </w:t>
      </w:r>
      <w:r w:rsidR="0022704D">
        <w:t xml:space="preserve"> la</w:t>
      </w:r>
      <w:r w:rsidR="00EC602C">
        <w:t xml:space="preserve"> percentuale per le imprese forestali (12%), pe</w:t>
      </w:r>
      <w:r w:rsidR="00B76804">
        <w:t>r le quali, probabilmente,  i rischi legati all’</w:t>
      </w:r>
      <w:r w:rsidR="00EC602C">
        <w:t>attività svolta rende più difficile la realizzazione di attività di stage per studenti, e per le imprese agricole localizzate al sud e nelle isole (</w:t>
      </w:r>
      <w:r w:rsidR="0022704D">
        <w:t xml:space="preserve"> </w:t>
      </w:r>
      <w:r w:rsidR="00EC602C">
        <w:t>19%)</w:t>
      </w:r>
      <w:r w:rsidR="002E293A">
        <w:t>.</w:t>
      </w:r>
    </w:p>
    <w:p w14:paraId="0DF83502" w14:textId="77777777" w:rsidR="00584B49" w:rsidRDefault="00584B49" w:rsidP="00584B49">
      <w:pPr>
        <w:pStyle w:val="Paragrafoelenco"/>
        <w:numPr>
          <w:ilvl w:val="0"/>
          <w:numId w:val="3"/>
        </w:numPr>
        <w:jc w:val="both"/>
      </w:pPr>
      <w:r>
        <w:t>solo il 12% delle imprese agricole intervistate</w:t>
      </w:r>
      <w:r w:rsidR="004311F6">
        <w:t xml:space="preserve"> </w:t>
      </w:r>
      <w:r>
        <w:t xml:space="preserve">ha investito in interventi di </w:t>
      </w:r>
      <w:r w:rsidRPr="00584B49">
        <w:rPr>
          <w:b/>
        </w:rPr>
        <w:t>riqualificazione/valorizzazione del suo territorio</w:t>
      </w:r>
      <w:r>
        <w:t xml:space="preserve"> attraverso il sostegno di attività culturali, il recupero ambientale e del patrimonio architettonico, il sostegno a Scuole e Musei (ecc.)</w:t>
      </w:r>
      <w:r w:rsidR="00BF0F2A">
        <w:t xml:space="preserve">,  rispetto </w:t>
      </w:r>
      <w:r w:rsidR="005A131B">
        <w:t>al 22,% delle imprese manifatturiere e a 24% di quelle terziarie</w:t>
      </w:r>
      <w:r w:rsidR="00C25842">
        <w:t>.</w:t>
      </w:r>
      <w:r w:rsidR="001605D0">
        <w:t xml:space="preserve"> Maggiore sensibilità a questo tipo di interventi viene dichiarata dalle imprese agricole femminili (</w:t>
      </w:r>
      <w:r w:rsidR="006C19CE">
        <w:t>18,5%)</w:t>
      </w:r>
      <w:r w:rsidR="001605D0">
        <w:t xml:space="preserve"> </w:t>
      </w:r>
    </w:p>
    <w:p w14:paraId="061641CE" w14:textId="77777777" w:rsidR="003F6143" w:rsidRDefault="003F6143" w:rsidP="003F6143">
      <w:pPr>
        <w:jc w:val="both"/>
      </w:pPr>
      <w:r>
        <w:t>Per le restanti attività indagate le imprese agricole intervistate hanno mostrato una propensione ad attività/ investimenti in linea con le imprese industriali e di servizi:</w:t>
      </w:r>
    </w:p>
    <w:p w14:paraId="1EE73888" w14:textId="77777777" w:rsidR="003F6143" w:rsidRDefault="00C10CFB" w:rsidP="003F6143">
      <w:pPr>
        <w:pStyle w:val="Paragrafoelenco"/>
        <w:numPr>
          <w:ilvl w:val="0"/>
          <w:numId w:val="5"/>
        </w:numPr>
        <w:jc w:val="both"/>
      </w:pPr>
      <w:r>
        <w:t xml:space="preserve">la </w:t>
      </w:r>
      <w:r w:rsidR="00CD5BAE" w:rsidRPr="00CD5BAE">
        <w:rPr>
          <w:b/>
        </w:rPr>
        <w:t>collaborazione con Scuole e Uni</w:t>
      </w:r>
      <w:r w:rsidR="009879F3" w:rsidRPr="00CD5BAE">
        <w:rPr>
          <w:b/>
        </w:rPr>
        <w:t xml:space="preserve">versità </w:t>
      </w:r>
      <w:r w:rsidR="00A944B3">
        <w:rPr>
          <w:b/>
        </w:rPr>
        <w:t>per progetti di open innova</w:t>
      </w:r>
      <w:r w:rsidR="00CD5BAE" w:rsidRPr="00CD5BAE">
        <w:rPr>
          <w:b/>
        </w:rPr>
        <w:t>tion</w:t>
      </w:r>
      <w:r w:rsidR="00CD5BAE">
        <w:t xml:space="preserve"> ha interessato il 18% delle imprese agricole contro il 20% delle manifatturiere e il </w:t>
      </w:r>
      <w:r w:rsidR="000436E0">
        <w:t xml:space="preserve">19% </w:t>
      </w:r>
      <w:r w:rsidR="00CD5BAE">
        <w:t>di quelle terziarie</w:t>
      </w:r>
      <w:r w:rsidR="007B240D">
        <w:t xml:space="preserve">. Ancora una volta sono le imprese di </w:t>
      </w:r>
      <w:r w:rsidR="007B240D" w:rsidRPr="007B240D">
        <w:rPr>
          <w:b/>
        </w:rPr>
        <w:t>maggiori dimensioni</w:t>
      </w:r>
      <w:r w:rsidR="007B240D">
        <w:t xml:space="preserve"> quelle con una più alta collaborazione con l’Università (28% di risposte positive per le imprese con più di 50 addetti e 24% quelle tra i 10 e i 49 addetti), ma anche le imprese giovanili mostrano una propensione a questo tipo di collaborazione maggiore della media (23%).</w:t>
      </w:r>
    </w:p>
    <w:p w14:paraId="277071D4" w14:textId="77777777" w:rsidR="000436E0" w:rsidRDefault="00C10CFB" w:rsidP="003F6143">
      <w:pPr>
        <w:pStyle w:val="Paragrafoelenco"/>
        <w:numPr>
          <w:ilvl w:val="0"/>
          <w:numId w:val="5"/>
        </w:numPr>
        <w:jc w:val="both"/>
      </w:pPr>
      <w:r>
        <w:t xml:space="preserve">le </w:t>
      </w:r>
      <w:r w:rsidR="000436E0" w:rsidRPr="00A944B3">
        <w:rPr>
          <w:b/>
        </w:rPr>
        <w:t>relazioni stabili con le associazioni</w:t>
      </w:r>
      <w:r w:rsidR="000436E0">
        <w:t xml:space="preserve"> di volontariato, ambientali, religiose, sportive , di consumatori etc.</w:t>
      </w:r>
      <w:r>
        <w:t xml:space="preserve"> sono svolte dal 20% delle imprese agricole rispetto al 23% delle imprese industriali e al 26% di quelle di servizi</w:t>
      </w:r>
      <w:r w:rsidR="007B240D">
        <w:t>. Come per il punto precedente sono le imprese agricole più grandi (31%) e quelle giovanili (28%)</w:t>
      </w:r>
      <w:r w:rsidR="00C64CA4">
        <w:t xml:space="preserve"> a mostrare maggiore capacità di relazione in questo campo.</w:t>
      </w:r>
    </w:p>
    <w:p w14:paraId="1FCBA33D" w14:textId="77777777" w:rsidR="000A11AE" w:rsidRDefault="000A11AE" w:rsidP="00E40C26">
      <w:pPr>
        <w:pStyle w:val="Paragrafoelenco"/>
        <w:numPr>
          <w:ilvl w:val="0"/>
          <w:numId w:val="5"/>
        </w:numPr>
        <w:jc w:val="both"/>
      </w:pPr>
      <w:r>
        <w:t>gli inves</w:t>
      </w:r>
      <w:r w:rsidR="00C64CA4">
        <w:t>t</w:t>
      </w:r>
      <w:r>
        <w:t xml:space="preserve">imenti  in attività che </w:t>
      </w:r>
      <w:r w:rsidRPr="00E40C26">
        <w:rPr>
          <w:b/>
        </w:rPr>
        <w:t>migliorano la salute e il benessere dei lavoratori</w:t>
      </w:r>
      <w:r>
        <w:t xml:space="preserve"> (welfare aziendale): </w:t>
      </w:r>
      <w:r w:rsidR="007B240D">
        <w:t>le imprese agricole che investono in questo campo sono il 46%</w:t>
      </w:r>
      <w:r>
        <w:t xml:space="preserve"> contro </w:t>
      </w:r>
      <w:r w:rsidR="001C3595">
        <w:t xml:space="preserve">il </w:t>
      </w:r>
      <w:r>
        <w:t xml:space="preserve">43% e </w:t>
      </w:r>
      <w:r w:rsidR="001C3595">
        <w:t xml:space="preserve">il </w:t>
      </w:r>
      <w:r>
        <w:t>40%</w:t>
      </w:r>
      <w:r w:rsidR="001C3595">
        <w:t xml:space="preserve"> rispettivamente di quelle industriali e di quelle terziarie. Sono sempre le imprese </w:t>
      </w:r>
      <w:r w:rsidR="008B3BF1">
        <w:t xml:space="preserve">agricole </w:t>
      </w:r>
      <w:r w:rsidR="001C3595">
        <w:t>di maggiori dimensioni  quelle maggiormente attive in questo campo (56%)</w:t>
      </w:r>
      <w:r w:rsidR="008B3BF1">
        <w:t xml:space="preserve">. </w:t>
      </w:r>
    </w:p>
    <w:p w14:paraId="6242311A" w14:textId="77777777" w:rsidR="00B328C4" w:rsidRDefault="00C10CFB" w:rsidP="00B328C4">
      <w:pPr>
        <w:pStyle w:val="Paragrafoelenco"/>
        <w:numPr>
          <w:ilvl w:val="0"/>
          <w:numId w:val="5"/>
        </w:numPr>
        <w:jc w:val="both"/>
      </w:pPr>
      <w:r>
        <w:t xml:space="preserve">i </w:t>
      </w:r>
      <w:r w:rsidRPr="00B328C4">
        <w:rPr>
          <w:b/>
        </w:rPr>
        <w:t>rapporti diretti con consumatori/clienti/utenti per campagne di utilità sociale</w:t>
      </w:r>
      <w:r>
        <w:t xml:space="preserve"> (lotta agli sprechi, </w:t>
      </w:r>
      <w:r w:rsidR="00B328C4">
        <w:t>contrasto al caporalato, ecc.) hanno riguardato il 12% delle imprese agricole contro il 12% di quelle manifatturiere e il 15% di quelle di servizi</w:t>
      </w:r>
      <w:r w:rsidR="008B3BF1">
        <w:t xml:space="preserve">. </w:t>
      </w:r>
      <w:r w:rsidR="005D0C8A">
        <w:t xml:space="preserve">Si tratta della percentuale più bassa di tutta la batteria di domande </w:t>
      </w:r>
      <w:r w:rsidR="00FD735D">
        <w:t xml:space="preserve">di questo paragrafo. </w:t>
      </w:r>
      <w:r w:rsidR="008B3BF1">
        <w:t xml:space="preserve">Le imprese giovanili risultano più sensibili al coinvolgimento dei consumatori i campagne di utilità sociale (20%) </w:t>
      </w:r>
    </w:p>
    <w:p w14:paraId="7C30DFD5" w14:textId="7B67002C" w:rsidR="00D053C0" w:rsidRDefault="00B328C4" w:rsidP="00D053C0">
      <w:pPr>
        <w:pStyle w:val="Paragrafoelenco"/>
        <w:numPr>
          <w:ilvl w:val="0"/>
          <w:numId w:val="5"/>
        </w:numPr>
        <w:jc w:val="both"/>
        <w:rPr>
          <w:b/>
        </w:rPr>
      </w:pPr>
      <w:r>
        <w:t>infine</w:t>
      </w:r>
      <w:r w:rsidR="005D0C8A">
        <w:t>, il 16% delle imprese agricole</w:t>
      </w:r>
      <w:r>
        <w:t xml:space="preserve"> ha </w:t>
      </w:r>
      <w:r w:rsidRPr="00B328C4">
        <w:rPr>
          <w:b/>
        </w:rPr>
        <w:t>coinvolto direttamente consumatori/clienti/utenti in coprogettazione e  ascolto attivo</w:t>
      </w:r>
      <w:r>
        <w:t xml:space="preserve"> rispetto al 14%  delle manifatturiere e il 13% delle terziarie</w:t>
      </w:r>
      <w:r w:rsidR="005D0C8A">
        <w:t>. Questa tipologia di relazione è più sviluppata dalle imprese agricole</w:t>
      </w:r>
      <w:r w:rsidR="004470CF">
        <w:t xml:space="preserve"> </w:t>
      </w:r>
      <w:r w:rsidR="005D0C8A">
        <w:t>(20%)</w:t>
      </w:r>
      <w:r w:rsidR="002A057B">
        <w:t xml:space="preserve">, </w:t>
      </w:r>
      <w:r w:rsidR="005D0C8A">
        <w:t xml:space="preserve"> rispetto a quelle forestali </w:t>
      </w:r>
      <w:r w:rsidR="002A057B">
        <w:t xml:space="preserve">(12%) </w:t>
      </w:r>
      <w:r w:rsidR="005D0C8A">
        <w:t>e della pesca</w:t>
      </w:r>
      <w:r w:rsidR="002A057B">
        <w:t xml:space="preserve"> (7%)</w:t>
      </w:r>
      <w:r w:rsidR="005D0C8A">
        <w:t xml:space="preserve">, </w:t>
      </w:r>
      <w:r w:rsidR="005D0C8A" w:rsidRPr="00960707">
        <w:rPr>
          <w:b/>
        </w:rPr>
        <w:t>grazie a</w:t>
      </w:r>
      <w:r w:rsidR="002A057B" w:rsidRPr="00960707">
        <w:rPr>
          <w:b/>
        </w:rPr>
        <w:t xml:space="preserve">lla </w:t>
      </w:r>
      <w:r w:rsidR="00356119" w:rsidRPr="00960707">
        <w:rPr>
          <w:b/>
        </w:rPr>
        <w:t xml:space="preserve">sempre maggiore diffusione </w:t>
      </w:r>
      <w:r w:rsidR="002A057B" w:rsidRPr="00960707">
        <w:rPr>
          <w:b/>
        </w:rPr>
        <w:t xml:space="preserve">nel mercato dei beni alimentari </w:t>
      </w:r>
      <w:r w:rsidR="00356119" w:rsidRPr="00960707">
        <w:rPr>
          <w:b/>
        </w:rPr>
        <w:t>della vendita dirette dal produttore agricolo al consumatore finale (Farmer’s Market, Campagna Amica Coldiretti ecc.), anche grazie a</w:t>
      </w:r>
      <w:r w:rsidR="002A057B" w:rsidRPr="00960707">
        <w:rPr>
          <w:b/>
        </w:rPr>
        <w:t xml:space="preserve"> quel</w:t>
      </w:r>
      <w:r w:rsidR="005D0C8A" w:rsidRPr="00960707">
        <w:rPr>
          <w:b/>
        </w:rPr>
        <w:t xml:space="preserve"> </w:t>
      </w:r>
      <w:r w:rsidR="004470CF" w:rsidRPr="00960707">
        <w:rPr>
          <w:b/>
        </w:rPr>
        <w:t xml:space="preserve">segmento particolare di </w:t>
      </w:r>
      <w:r w:rsidR="005D0C8A" w:rsidRPr="00960707">
        <w:rPr>
          <w:b/>
        </w:rPr>
        <w:t xml:space="preserve"> consumatori che sono i Gruppi di acquisto Solidale (GAS</w:t>
      </w:r>
      <w:r w:rsidR="00356119" w:rsidRPr="00960707">
        <w:rPr>
          <w:b/>
        </w:rPr>
        <w:t>: gruppi di acquisto auto organizzati che comprano direttamente dai produttori agricoli, spesso caratterizzati da un approccio critico al consumo tradizionale, che scelgono i loro fornitori sulla base di  principi di equità, solidarietà e sostenibilità sociale ed ambientale</w:t>
      </w:r>
      <w:r w:rsidR="005D0C8A" w:rsidRPr="00960707">
        <w:rPr>
          <w:b/>
        </w:rPr>
        <w:t>)</w:t>
      </w:r>
      <w:r w:rsidR="00CF1D44">
        <w:rPr>
          <w:b/>
        </w:rPr>
        <w:t>.</w:t>
      </w:r>
    </w:p>
    <w:p w14:paraId="397EA17B" w14:textId="5C3A3AFE" w:rsidR="00AB6248" w:rsidRDefault="00AB6248" w:rsidP="00AB6248">
      <w:pPr>
        <w:jc w:val="both"/>
        <w:rPr>
          <w:b/>
        </w:rPr>
      </w:pPr>
    </w:p>
    <w:p w14:paraId="40F5FBF6" w14:textId="37CFF677" w:rsidR="00AB6248" w:rsidRDefault="00AB6248" w:rsidP="00AB6248">
      <w:pPr>
        <w:jc w:val="both"/>
        <w:rPr>
          <w:b/>
        </w:rPr>
      </w:pPr>
    </w:p>
    <w:p w14:paraId="402F14DD" w14:textId="69402FC2" w:rsidR="00AB6248" w:rsidRDefault="00AB6248" w:rsidP="00AB6248">
      <w:pPr>
        <w:jc w:val="both"/>
        <w:rPr>
          <w:b/>
        </w:rPr>
      </w:pPr>
    </w:p>
    <w:p w14:paraId="5E751EA2" w14:textId="4E25220A" w:rsidR="00AB6248" w:rsidRDefault="00AB6248" w:rsidP="00AB6248">
      <w:pPr>
        <w:jc w:val="both"/>
        <w:rPr>
          <w:b/>
        </w:rPr>
      </w:pPr>
    </w:p>
    <w:p w14:paraId="0197B6C6" w14:textId="344B74F1" w:rsidR="00AB6248" w:rsidRDefault="00AB6248" w:rsidP="00AB6248">
      <w:pPr>
        <w:jc w:val="both"/>
        <w:rPr>
          <w:b/>
        </w:rPr>
      </w:pPr>
    </w:p>
    <w:p w14:paraId="4DD1FF11" w14:textId="0C331964" w:rsidR="00AB6248" w:rsidRDefault="00AB6248" w:rsidP="00AB6248">
      <w:pPr>
        <w:jc w:val="both"/>
        <w:rPr>
          <w:b/>
        </w:rPr>
      </w:pPr>
    </w:p>
    <w:p w14:paraId="1F61C3D5" w14:textId="04A28631" w:rsidR="00AB6248" w:rsidRDefault="00AB6248" w:rsidP="00AB6248">
      <w:pPr>
        <w:jc w:val="both"/>
        <w:rPr>
          <w:b/>
        </w:rPr>
      </w:pPr>
    </w:p>
    <w:p w14:paraId="6A02C809" w14:textId="07C0F0FE" w:rsidR="00AB6248" w:rsidRDefault="00AB6248" w:rsidP="00AB6248">
      <w:pPr>
        <w:jc w:val="both"/>
        <w:rPr>
          <w:b/>
        </w:rPr>
      </w:pPr>
    </w:p>
    <w:p w14:paraId="0FE9ED15" w14:textId="1C3909EF" w:rsidR="00AB6248" w:rsidRDefault="00AB6248" w:rsidP="00AB6248">
      <w:pPr>
        <w:jc w:val="both"/>
        <w:rPr>
          <w:b/>
        </w:rPr>
      </w:pPr>
    </w:p>
    <w:p w14:paraId="533EDE5B" w14:textId="2DE51C4E" w:rsidR="00AB6248" w:rsidRDefault="00AB6248" w:rsidP="00AB6248">
      <w:pPr>
        <w:jc w:val="both"/>
        <w:rPr>
          <w:b/>
        </w:rPr>
      </w:pPr>
    </w:p>
    <w:p w14:paraId="497BAE9B" w14:textId="28E65B15" w:rsidR="00AB6248" w:rsidRDefault="00AB6248" w:rsidP="00AB6248">
      <w:pPr>
        <w:jc w:val="both"/>
        <w:rPr>
          <w:b/>
        </w:rPr>
      </w:pPr>
    </w:p>
    <w:p w14:paraId="28410840" w14:textId="61E64DFF" w:rsidR="00AB6248" w:rsidRDefault="00AB6248" w:rsidP="00AB6248">
      <w:pPr>
        <w:jc w:val="both"/>
        <w:rPr>
          <w:b/>
        </w:rPr>
      </w:pPr>
    </w:p>
    <w:p w14:paraId="5B4B2C2B" w14:textId="6DEA431D" w:rsidR="00AB6248" w:rsidRDefault="00AB6248" w:rsidP="00AB6248">
      <w:pPr>
        <w:jc w:val="both"/>
        <w:rPr>
          <w:b/>
        </w:rPr>
      </w:pPr>
    </w:p>
    <w:p w14:paraId="4F1D930A" w14:textId="3C9EC8DD" w:rsidR="00AB6248" w:rsidRDefault="00AB6248" w:rsidP="00AB6248">
      <w:pPr>
        <w:jc w:val="both"/>
        <w:rPr>
          <w:b/>
        </w:rPr>
      </w:pPr>
    </w:p>
    <w:p w14:paraId="328CA525" w14:textId="58A854A1" w:rsidR="00AB6248" w:rsidRDefault="00AB6248" w:rsidP="00AB6248">
      <w:pPr>
        <w:jc w:val="both"/>
        <w:rPr>
          <w:b/>
        </w:rPr>
      </w:pPr>
    </w:p>
    <w:p w14:paraId="4CC39CAC" w14:textId="075E59D0" w:rsidR="00AB6248" w:rsidRDefault="00AB6248" w:rsidP="00AB6248">
      <w:pPr>
        <w:jc w:val="both"/>
        <w:rPr>
          <w:b/>
        </w:rPr>
      </w:pPr>
    </w:p>
    <w:p w14:paraId="4B069D01" w14:textId="77777777" w:rsidR="00AB6248" w:rsidRPr="00AB6248" w:rsidRDefault="00AB6248" w:rsidP="00AB6248">
      <w:pPr>
        <w:jc w:val="both"/>
        <w:rPr>
          <w:b/>
        </w:rPr>
      </w:pPr>
    </w:p>
    <w:p w14:paraId="1C6A068A" w14:textId="2DC6F9D5" w:rsidR="00D053C0" w:rsidRPr="00D053C0" w:rsidRDefault="00D053C0" w:rsidP="00D053C0">
      <w:pPr>
        <w:jc w:val="both"/>
        <w:rPr>
          <w:b/>
          <w:i/>
          <w:iCs/>
        </w:rPr>
      </w:pPr>
      <w:r w:rsidRPr="00D053C0">
        <w:rPr>
          <w:b/>
          <w:i/>
          <w:iCs/>
        </w:rPr>
        <w:t>Attività svolte per migliorare le relazioni gli attori della filiera (valori %)</w:t>
      </w:r>
    </w:p>
    <w:p w14:paraId="2F3E8386" w14:textId="456B2430" w:rsidR="00D053C0" w:rsidRDefault="00D053C0" w:rsidP="00D053C0">
      <w:pPr>
        <w:pStyle w:val="Paragrafoelenco"/>
        <w:jc w:val="both"/>
        <w:rPr>
          <w:b/>
        </w:rPr>
      </w:pPr>
      <w:r>
        <w:rPr>
          <w:noProof/>
        </w:rPr>
        <w:drawing>
          <wp:inline distT="0" distB="0" distL="0" distR="0" wp14:anchorId="6C66AB66" wp14:editId="470DEAED">
            <wp:extent cx="5524500" cy="5326380"/>
            <wp:effectExtent l="0" t="0" r="0" b="0"/>
            <wp:docPr id="14" name="Grafico 14">
              <a:extLst xmlns:a="http://schemas.openxmlformats.org/drawingml/2006/main">
                <a:ext uri="{FF2B5EF4-FFF2-40B4-BE49-F238E27FC236}">
                  <a16:creationId xmlns:a16="http://schemas.microsoft.com/office/drawing/2014/main" id="{FF4C56D6-7DF5-B6BB-E72E-DAE81EB17B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A582E0A" w14:textId="65A6323C" w:rsidR="00D053C0" w:rsidRDefault="00D053C0" w:rsidP="00D053C0">
      <w:pPr>
        <w:jc w:val="both"/>
      </w:pPr>
      <w:r w:rsidRPr="007E72A0">
        <w:rPr>
          <w:i/>
          <w:iCs/>
          <w:sz w:val="20"/>
          <w:szCs w:val="20"/>
        </w:rPr>
        <w:t>Fonte: Indagine Centro studi Guglielmo Tagliacarne</w:t>
      </w:r>
      <w:r w:rsidR="009F0D24">
        <w:rPr>
          <w:i/>
          <w:iCs/>
          <w:sz w:val="20"/>
          <w:szCs w:val="20"/>
        </w:rPr>
        <w:t>-Unioncamere</w:t>
      </w:r>
      <w:r w:rsidRPr="007E72A0">
        <w:rPr>
          <w:i/>
          <w:iCs/>
          <w:sz w:val="20"/>
          <w:szCs w:val="20"/>
        </w:rPr>
        <w:t xml:space="preserve"> 2022</w:t>
      </w:r>
      <w:r>
        <w:t xml:space="preserve"> </w:t>
      </w:r>
    </w:p>
    <w:p w14:paraId="33E21066" w14:textId="5DADF25B" w:rsidR="009F0D24" w:rsidRPr="009F0D24" w:rsidRDefault="009F0D24" w:rsidP="00D053C0">
      <w:pPr>
        <w:jc w:val="both"/>
        <w:rPr>
          <w:i/>
          <w:iCs/>
          <w:sz w:val="20"/>
          <w:szCs w:val="20"/>
        </w:rPr>
      </w:pPr>
      <w:r w:rsidRPr="009F0D24">
        <w:rPr>
          <w:i/>
          <w:iCs/>
          <w:sz w:val="20"/>
          <w:szCs w:val="20"/>
        </w:rPr>
        <w:t>*Domanda a risposta multipla</w:t>
      </w:r>
    </w:p>
    <w:p w14:paraId="7E5FFA0E" w14:textId="77777777" w:rsidR="00856C4D" w:rsidRDefault="00DB1E63" w:rsidP="00856C4D">
      <w:pPr>
        <w:ind w:left="360"/>
        <w:jc w:val="both"/>
      </w:pPr>
      <w:r w:rsidRPr="00856C4D">
        <w:t>Riassumendo</w:t>
      </w:r>
      <w:r w:rsidR="008D6449" w:rsidRPr="00856C4D">
        <w:t xml:space="preserve"> </w:t>
      </w:r>
      <w:r w:rsidRPr="00856C4D">
        <w:t>possiamo affermare che</w:t>
      </w:r>
      <w:r w:rsidR="00856C4D">
        <w:t>:</w:t>
      </w:r>
    </w:p>
    <w:p w14:paraId="4308D483" w14:textId="77777777" w:rsidR="0071543B" w:rsidRPr="00856C4D" w:rsidRDefault="00856C4D" w:rsidP="00856C4D">
      <w:pPr>
        <w:pStyle w:val="Paragrafoelenco"/>
        <w:numPr>
          <w:ilvl w:val="0"/>
          <w:numId w:val="11"/>
        </w:numPr>
        <w:jc w:val="both"/>
      </w:pPr>
      <w:r>
        <w:t>I</w:t>
      </w:r>
      <w:r w:rsidR="007C3245" w:rsidRPr="00856C4D">
        <w:t xml:space="preserve">n molte delle attività di relazione con i diversi attori della filiera sono le imprese </w:t>
      </w:r>
      <w:r w:rsidR="00823D54" w:rsidRPr="00856C4D">
        <w:t xml:space="preserve">agricole </w:t>
      </w:r>
      <w:r w:rsidR="007C3245" w:rsidRPr="00856C4D">
        <w:t>di maggiori dimensioni a mostrare un maggior dinamismo</w:t>
      </w:r>
      <w:r w:rsidR="0087186E" w:rsidRPr="00856C4D">
        <w:t>: potremmo definirle più coesive delle altre</w:t>
      </w:r>
    </w:p>
    <w:p w14:paraId="44CD7A7C" w14:textId="77777777" w:rsidR="0022704D" w:rsidRPr="00856C4D" w:rsidRDefault="0022704D" w:rsidP="00856C4D">
      <w:pPr>
        <w:pStyle w:val="Paragrafoelenco"/>
        <w:numPr>
          <w:ilvl w:val="0"/>
          <w:numId w:val="5"/>
        </w:numPr>
        <w:jc w:val="both"/>
      </w:pPr>
      <w:r w:rsidRPr="00856C4D">
        <w:t>Le imprese agricole localizzate al Sud e nelle Isole sono , invece, quelle che mostrano i maggiori problemi di rapporto con i diversi attori della filiera.</w:t>
      </w:r>
    </w:p>
    <w:p w14:paraId="19E0B92C" w14:textId="77777777" w:rsidR="006C19CE" w:rsidRPr="00856C4D" w:rsidRDefault="006C19CE" w:rsidP="00856C4D">
      <w:pPr>
        <w:pStyle w:val="Paragrafoelenco"/>
        <w:numPr>
          <w:ilvl w:val="0"/>
          <w:numId w:val="5"/>
        </w:numPr>
        <w:jc w:val="both"/>
      </w:pPr>
      <w:r w:rsidRPr="00856C4D">
        <w:t>Le imprese femminili sono più aperte a forme di collaborazione</w:t>
      </w:r>
      <w:r w:rsidR="00CB14BD" w:rsidRPr="00856C4D">
        <w:t>,</w:t>
      </w:r>
      <w:r w:rsidRPr="00856C4D">
        <w:t xml:space="preserve"> soprattutto sui temi più</w:t>
      </w:r>
      <w:r w:rsidR="00887424" w:rsidRPr="00856C4D">
        <w:t xml:space="preserve"> </w:t>
      </w:r>
      <w:r w:rsidRPr="00856C4D">
        <w:t>sindac</w:t>
      </w:r>
      <w:r w:rsidR="00887424" w:rsidRPr="00856C4D">
        <w:t>a</w:t>
      </w:r>
      <w:r w:rsidRPr="00856C4D">
        <w:t>li (associazioni di categoria) e sociali/territoriali</w:t>
      </w:r>
    </w:p>
    <w:p w14:paraId="5D2C8375" w14:textId="77777777" w:rsidR="008D6449" w:rsidRPr="00856C4D" w:rsidRDefault="008B3BF1" w:rsidP="00856C4D">
      <w:pPr>
        <w:pStyle w:val="Paragrafoelenco"/>
        <w:numPr>
          <w:ilvl w:val="0"/>
          <w:numId w:val="5"/>
        </w:numPr>
        <w:jc w:val="both"/>
      </w:pPr>
      <w:r w:rsidRPr="00856C4D">
        <w:t>Anche le imprese giovanili  sono in alcuni campi più attive nello sviluppare relazioni con gli attori della filiera</w:t>
      </w:r>
      <w:r w:rsidR="008D6449" w:rsidRPr="00856C4D">
        <w:t xml:space="preserve"> (collaborazione con Scuole e Università per progetti di open innovation; relazioni con il mondo bancario; relazioni con il Non Profit; </w:t>
      </w:r>
      <w:r w:rsidR="00E260BF" w:rsidRPr="00856C4D">
        <w:t>c</w:t>
      </w:r>
      <w:r w:rsidR="008D6449" w:rsidRPr="00856C4D">
        <w:t>oinvolgimento dei consumatori clienti in campagne di utilità sociale</w:t>
      </w:r>
    </w:p>
    <w:p w14:paraId="0FBBFB5F" w14:textId="77777777" w:rsidR="00887424" w:rsidRPr="00856C4D" w:rsidRDefault="00887424" w:rsidP="00856C4D">
      <w:pPr>
        <w:pStyle w:val="Paragrafoelenco"/>
        <w:numPr>
          <w:ilvl w:val="0"/>
          <w:numId w:val="5"/>
        </w:numPr>
        <w:jc w:val="both"/>
      </w:pPr>
      <w:r w:rsidRPr="00856C4D">
        <w:t>Le imprese che operano nella Silvicoltura e nella Pesca sono invec</w:t>
      </w:r>
      <w:r w:rsidR="008D6449" w:rsidRPr="00856C4D">
        <w:t>e tendenzialmente meno attive  in questo campo di relazioni</w:t>
      </w:r>
    </w:p>
    <w:p w14:paraId="39A71326" w14:textId="77777777" w:rsidR="004470CF" w:rsidRDefault="004470CF" w:rsidP="00584B49">
      <w:pPr>
        <w:jc w:val="both"/>
      </w:pPr>
    </w:p>
    <w:p w14:paraId="59967604" w14:textId="77777777" w:rsidR="002C4D6B" w:rsidRPr="00B76804" w:rsidRDefault="00823D54" w:rsidP="00584B49">
      <w:pPr>
        <w:jc w:val="both"/>
        <w:rPr>
          <w:b/>
        </w:rPr>
      </w:pPr>
      <w:r>
        <w:t>Come abbiamo visto l</w:t>
      </w:r>
      <w:r w:rsidR="00EA126D">
        <w:t xml:space="preserve">e imprese agricole in generale mostrano una buona capacità di relazione/attività/investimenti con l’ambiente esterno/interno, in alcuni casi superiore a quella delle imprese degli altri settori, ma ancor più significativo è  il fatto che la </w:t>
      </w:r>
      <w:r w:rsidR="00EA126D" w:rsidRPr="00887424">
        <w:rPr>
          <w:b/>
        </w:rPr>
        <w:t xml:space="preserve">pandemia da Covid 19 </w:t>
      </w:r>
      <w:r w:rsidR="00EA126D">
        <w:t xml:space="preserve">sia stata </w:t>
      </w:r>
      <w:r w:rsidR="00EA126D" w:rsidRPr="00887424">
        <w:rPr>
          <w:b/>
        </w:rPr>
        <w:t>l’occasione</w:t>
      </w:r>
      <w:r w:rsidRPr="00887424">
        <w:rPr>
          <w:b/>
        </w:rPr>
        <w:t xml:space="preserve"> per  iniziare o aumentare le attività per migliorare il benessere dei lavoratori e la qualità del territorio</w:t>
      </w:r>
      <w:r>
        <w:t xml:space="preserve"> in cui operano</w:t>
      </w:r>
      <w:r w:rsidR="00887424">
        <w:t xml:space="preserve">, in termini di impegno sociale, sostenibilità ambientale ecc.): </w:t>
      </w:r>
      <w:r w:rsidR="00887424" w:rsidRPr="006418C3">
        <w:rPr>
          <w:b/>
        </w:rPr>
        <w:t>l’85% delle aziende agricole</w:t>
      </w:r>
      <w:r w:rsidR="00887424">
        <w:t xml:space="preserve"> afferma questo nesso di causalità, percentuale molto superiore a quella delle imprese manifatturiere (63%) ed terziarie (59%). </w:t>
      </w:r>
      <w:r w:rsidR="006418C3" w:rsidRPr="00B76804">
        <w:rPr>
          <w:b/>
        </w:rPr>
        <w:t>Le imprese agricole si sono dimostrate, quindi, più</w:t>
      </w:r>
      <w:r w:rsidR="004470CF" w:rsidRPr="00B76804">
        <w:rPr>
          <w:b/>
        </w:rPr>
        <w:t xml:space="preserve"> proattive</w:t>
      </w:r>
      <w:r w:rsidR="006418C3" w:rsidRPr="00B76804">
        <w:rPr>
          <w:b/>
        </w:rPr>
        <w:t xml:space="preserve">  di fronte all’</w:t>
      </w:r>
      <w:r w:rsidR="00980135" w:rsidRPr="00B76804">
        <w:rPr>
          <w:b/>
        </w:rPr>
        <w:t>emergenza Covid 19</w:t>
      </w:r>
      <w:r w:rsidR="00B76804" w:rsidRPr="00B76804">
        <w:rPr>
          <w:b/>
        </w:rPr>
        <w:t xml:space="preserve"> rispetto alle imprese degli altri settori</w:t>
      </w:r>
      <w:r w:rsidR="00980135" w:rsidRPr="00B76804">
        <w:rPr>
          <w:b/>
        </w:rPr>
        <w:t xml:space="preserve">, rafforzando il proprio rapporto con i dipendenti e con il territorio. </w:t>
      </w:r>
      <w:r w:rsidR="006418C3" w:rsidRPr="00B76804">
        <w:rPr>
          <w:b/>
        </w:rPr>
        <w:t xml:space="preserve">Ancor più significativo è che non si registrino significative differenziazioni  tra </w:t>
      </w:r>
      <w:r w:rsidR="00980135" w:rsidRPr="00B76804">
        <w:rPr>
          <w:b/>
        </w:rPr>
        <w:t xml:space="preserve"> le diverse tipologie di imprese</w:t>
      </w:r>
      <w:r w:rsidR="006418C3" w:rsidRPr="00B76804">
        <w:rPr>
          <w:b/>
        </w:rPr>
        <w:t xml:space="preserve"> ag</w:t>
      </w:r>
      <w:r w:rsidR="00980135" w:rsidRPr="00B76804">
        <w:rPr>
          <w:b/>
        </w:rPr>
        <w:t>ricole in termini settore di attività, zona di localizzazione, dimensione, età dell’imprenditore e prevalenza di genere: la capacità delle imprese agricole di rispondere allo shock della pandemia ha riguardato trasversalmente tutte le imprese agricole.</w:t>
      </w:r>
    </w:p>
    <w:p w14:paraId="7C3A4FCA" w14:textId="77777777" w:rsidR="002C4D6B" w:rsidRDefault="002C4D6B" w:rsidP="00584B49">
      <w:pPr>
        <w:jc w:val="both"/>
      </w:pPr>
    </w:p>
    <w:p w14:paraId="6413FE81" w14:textId="77777777" w:rsidR="002C4D6B" w:rsidRDefault="002C4D6B" w:rsidP="00584B49">
      <w:pPr>
        <w:jc w:val="both"/>
        <w:rPr>
          <w:b/>
          <w:sz w:val="28"/>
          <w:szCs w:val="28"/>
          <w:u w:val="single"/>
        </w:rPr>
      </w:pPr>
      <w:r w:rsidRPr="00856C4D">
        <w:rPr>
          <w:b/>
          <w:sz w:val="28"/>
          <w:szCs w:val="28"/>
          <w:u w:val="single"/>
        </w:rPr>
        <w:t>FORNITORI</w:t>
      </w:r>
    </w:p>
    <w:p w14:paraId="6E177A18" w14:textId="77777777" w:rsidR="00574006" w:rsidRDefault="00574006" w:rsidP="00584B49">
      <w:pPr>
        <w:jc w:val="both"/>
        <w:rPr>
          <w:b/>
          <w:sz w:val="28"/>
          <w:szCs w:val="28"/>
          <w:u w:val="single"/>
        </w:rPr>
      </w:pPr>
    </w:p>
    <w:p w14:paraId="15B3E5C1" w14:textId="4D7D14BD" w:rsidR="00415E74" w:rsidRDefault="00292031" w:rsidP="00584B49">
      <w:pPr>
        <w:jc w:val="both"/>
      </w:pPr>
      <w:r>
        <w:t xml:space="preserve">Una domanda del questionario è stata dedicata ad individuare i </w:t>
      </w:r>
      <w:r w:rsidRPr="00292031">
        <w:rPr>
          <w:b/>
        </w:rPr>
        <w:t xml:space="preserve">fattori in base ai quali l’azienda sceglie i fornitori di input </w:t>
      </w:r>
      <w:r>
        <w:t>produttivi e di servizio</w:t>
      </w:r>
      <w:r w:rsidR="00415E74">
        <w:t xml:space="preserve">, dalla quale emerge la </w:t>
      </w:r>
      <w:r w:rsidR="00B76804">
        <w:rPr>
          <w:b/>
        </w:rPr>
        <w:t>particolarità</w:t>
      </w:r>
      <w:r w:rsidR="00415E74" w:rsidRPr="00415E74">
        <w:rPr>
          <w:b/>
        </w:rPr>
        <w:t xml:space="preserve"> delle imprese agricole</w:t>
      </w:r>
      <w:r w:rsidR="00415E74">
        <w:t xml:space="preserve"> in questo tipo di scelta, che le differenzia dalle imprese industriali e di servizio. </w:t>
      </w:r>
    </w:p>
    <w:p w14:paraId="3181DA7B" w14:textId="77777777" w:rsidR="00415E74" w:rsidRDefault="00415E74" w:rsidP="00584B49">
      <w:pPr>
        <w:jc w:val="both"/>
      </w:pPr>
      <w:r w:rsidRPr="008A2360">
        <w:rPr>
          <w:b/>
        </w:rPr>
        <w:t>Quasi la metà delle imprese agricole</w:t>
      </w:r>
      <w:r>
        <w:t xml:space="preserve"> </w:t>
      </w:r>
      <w:r w:rsidRPr="00A330EA">
        <w:rPr>
          <w:b/>
        </w:rPr>
        <w:t xml:space="preserve">intervistate indica come principale fattore di scelta </w:t>
      </w:r>
      <w:r w:rsidR="008A2360" w:rsidRPr="00A330EA">
        <w:rPr>
          <w:b/>
        </w:rPr>
        <w:t>la durata nel tempo di  un rapporto consolidato con  il fornitore , privilegiando  decisamente l’abitudine e la familiarità (fidelizzazione) rispetto a tutti gli altri fattori</w:t>
      </w:r>
      <w:r w:rsidR="0078275D" w:rsidRPr="00A330EA">
        <w:rPr>
          <w:b/>
        </w:rPr>
        <w:t xml:space="preserve"> (48%)</w:t>
      </w:r>
      <w:r w:rsidR="008A2360" w:rsidRPr="00A330EA">
        <w:rPr>
          <w:b/>
        </w:rPr>
        <w:t>.</w:t>
      </w:r>
      <w:r w:rsidR="0078275D" w:rsidRPr="00A330EA">
        <w:rPr>
          <w:b/>
        </w:rPr>
        <w:t xml:space="preserve"> Tale percentuale di risposta risulta </w:t>
      </w:r>
      <w:r w:rsidR="00370362" w:rsidRPr="00A330EA">
        <w:rPr>
          <w:b/>
        </w:rPr>
        <w:t>molto simile in n</w:t>
      </w:r>
      <w:r w:rsidR="0078275D" w:rsidRPr="00A330EA">
        <w:rPr>
          <w:b/>
        </w:rPr>
        <w:t>e</w:t>
      </w:r>
      <w:r w:rsidR="00370362" w:rsidRPr="00A330EA">
        <w:rPr>
          <w:b/>
        </w:rPr>
        <w:t>l</w:t>
      </w:r>
      <w:r w:rsidR="0078275D" w:rsidRPr="00A330EA">
        <w:rPr>
          <w:b/>
        </w:rPr>
        <w:t>le diverse tipologie di impresa agricola</w:t>
      </w:r>
      <w:r w:rsidR="0078275D">
        <w:t xml:space="preserve"> in termini di attività svolta, localizzazione, dimensione e genere del’imprenditore</w:t>
      </w:r>
      <w:r w:rsidR="00370362">
        <w:t xml:space="preserve">, con la sola eccezione di </w:t>
      </w:r>
      <w:r w:rsidR="0078275D">
        <w:t xml:space="preserve"> una minore incidenza di questo fattore nelle imprese cond</w:t>
      </w:r>
      <w:r w:rsidR="00370362">
        <w:t>otte da giovani imprenditori (37%)</w:t>
      </w:r>
      <w:r w:rsidR="00A70BEB">
        <w:t>, che, supponendo siano alla guida dell’azienda da meno tempo rispetto agli imprenditori agricoli più anziani, naturalmente attribuiscono alla durata nel tempo del rapporto con il fornitore una minore importanza</w:t>
      </w:r>
      <w:r w:rsidR="00370362">
        <w:t>.</w:t>
      </w:r>
    </w:p>
    <w:p w14:paraId="5DA77174" w14:textId="77777777" w:rsidR="00370362" w:rsidRDefault="00370362" w:rsidP="00584B49">
      <w:pPr>
        <w:jc w:val="both"/>
      </w:pPr>
      <w:r>
        <w:t xml:space="preserve">Molto staccati in termini di frequenza il secondo e il terzo fattore indicati </w:t>
      </w:r>
      <w:r w:rsidR="00955768">
        <w:t xml:space="preserve"> come prevalenti  nella scelta del fornitore:  un </w:t>
      </w:r>
      <w:r w:rsidR="00955768" w:rsidRPr="00955768">
        <w:rPr>
          <w:b/>
        </w:rPr>
        <w:t>buon rapporto qualità/prezzo</w:t>
      </w:r>
      <w:r w:rsidR="00955768">
        <w:t xml:space="preserve"> risulta il  fattore più importante per il 24% delle aziende intervistate</w:t>
      </w:r>
      <w:r w:rsidR="004D430F">
        <w:t xml:space="preserve"> (percentuale che sale al 30% per le imprese condotte da giovani imprenditori agricoli) </w:t>
      </w:r>
      <w:r w:rsidR="00955768">
        <w:t xml:space="preserve">, mentre </w:t>
      </w:r>
      <w:r w:rsidR="00955768" w:rsidRPr="00955768">
        <w:rPr>
          <w:b/>
        </w:rPr>
        <w:t>la qualità e l’affidabilità del fornitore</w:t>
      </w:r>
      <w:r w:rsidR="00955768">
        <w:t xml:space="preserve"> sono l fattore principale di scelta per il 16% delle imprese</w:t>
      </w:r>
      <w:r w:rsidR="004D430F">
        <w:t xml:space="preserve"> (20% per le imprese agricole giovanili)</w:t>
      </w:r>
      <w:r w:rsidR="00955768">
        <w:t>.</w:t>
      </w:r>
    </w:p>
    <w:p w14:paraId="7EEFC4B0" w14:textId="57C20827" w:rsidR="001B16B4" w:rsidRDefault="003D293D" w:rsidP="00584B49">
      <w:pPr>
        <w:jc w:val="both"/>
      </w:pPr>
      <w:r w:rsidRPr="00EC72A6">
        <w:rPr>
          <w:b/>
        </w:rPr>
        <w:t xml:space="preserve">Tutti gli altri fattori di scelta </w:t>
      </w:r>
      <w:r w:rsidR="00955768" w:rsidRPr="00EC72A6">
        <w:rPr>
          <w:b/>
        </w:rPr>
        <w:t xml:space="preserve"> </w:t>
      </w:r>
      <w:r w:rsidR="00955768">
        <w:t>previsti</w:t>
      </w:r>
      <w:r>
        <w:t xml:space="preserve"> dalla domanda sono risultati </w:t>
      </w:r>
      <w:r w:rsidRPr="00EC72A6">
        <w:rPr>
          <w:b/>
        </w:rPr>
        <w:t>molto poco influenti</w:t>
      </w:r>
      <w:r>
        <w:t xml:space="preserve"> e ciascuno di loro risulta indicato come fattore prevalente da meno del 4% delle risposte. Anche motivi di scelta normalmente considerati importanti </w:t>
      </w:r>
      <w:r w:rsidR="00CC18CB">
        <w:t>nella selezione dei fornitori</w:t>
      </w:r>
      <w:r w:rsidR="00A330EA">
        <w:t>,</w:t>
      </w:r>
      <w:r w:rsidR="00CC18CB">
        <w:t xml:space="preserve">  quali la rapidità di consegna e la loro localizzazione risultano poco determ</w:t>
      </w:r>
      <w:r w:rsidR="00EC72A6">
        <w:t>inanti  per le imprese agricole (rispettivamente 3,8% e 3,6% li indica come il fattore principale).</w:t>
      </w:r>
    </w:p>
    <w:p w14:paraId="3C41477B" w14:textId="627B9341" w:rsidR="001B16B4" w:rsidRPr="001B16B4" w:rsidRDefault="001B16B4" w:rsidP="00584B49">
      <w:pPr>
        <w:jc w:val="both"/>
        <w:rPr>
          <w:b/>
          <w:bCs/>
          <w:i/>
          <w:iCs/>
        </w:rPr>
      </w:pPr>
      <w:r w:rsidRPr="001B16B4">
        <w:rPr>
          <w:b/>
          <w:bCs/>
          <w:i/>
          <w:iCs/>
        </w:rPr>
        <w:t xml:space="preserve">Fattori in base ai quali le aziende scelgono(prima scelta) i fornitori </w:t>
      </w:r>
      <w:r>
        <w:rPr>
          <w:b/>
          <w:bCs/>
          <w:i/>
          <w:iCs/>
        </w:rPr>
        <w:t xml:space="preserve">di </w:t>
      </w:r>
      <w:r w:rsidRPr="001B16B4">
        <w:rPr>
          <w:b/>
          <w:bCs/>
          <w:i/>
          <w:iCs/>
        </w:rPr>
        <w:t>input produttivi (valori %)</w:t>
      </w:r>
    </w:p>
    <w:p w14:paraId="3318ACFA" w14:textId="0AFA5164" w:rsidR="001B16B4" w:rsidRDefault="001B16B4" w:rsidP="00584B49">
      <w:pPr>
        <w:jc w:val="both"/>
      </w:pPr>
      <w:r>
        <w:rPr>
          <w:noProof/>
        </w:rPr>
        <w:drawing>
          <wp:inline distT="0" distB="0" distL="0" distR="0" wp14:anchorId="5477395B" wp14:editId="3007CAB2">
            <wp:extent cx="6106887" cy="4898572"/>
            <wp:effectExtent l="0" t="0" r="0" b="0"/>
            <wp:docPr id="15" name="Grafico 15">
              <a:extLst xmlns:a="http://schemas.openxmlformats.org/drawingml/2006/main">
                <a:ext uri="{FF2B5EF4-FFF2-40B4-BE49-F238E27FC236}">
                  <a16:creationId xmlns:a16="http://schemas.microsoft.com/office/drawing/2014/main" id="{DBD7E87E-656A-C104-41C3-5BBB920A12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924B50F" w14:textId="6595BC43" w:rsidR="001B16B4" w:rsidRDefault="001B16B4" w:rsidP="00584B49">
      <w:pPr>
        <w:jc w:val="both"/>
      </w:pPr>
      <w:r w:rsidRPr="007E72A0">
        <w:rPr>
          <w:i/>
          <w:iCs/>
          <w:sz w:val="20"/>
          <w:szCs w:val="20"/>
        </w:rPr>
        <w:t>Fonte: Indagine Centro studi Guglielmo Tagliacarne</w:t>
      </w:r>
      <w:r w:rsidR="009F0D24">
        <w:rPr>
          <w:i/>
          <w:iCs/>
          <w:sz w:val="20"/>
          <w:szCs w:val="20"/>
        </w:rPr>
        <w:t>-Unioncamere</w:t>
      </w:r>
      <w:r w:rsidRPr="007E72A0">
        <w:rPr>
          <w:i/>
          <w:iCs/>
          <w:sz w:val="20"/>
          <w:szCs w:val="20"/>
        </w:rPr>
        <w:t xml:space="preserve"> 2022</w:t>
      </w:r>
      <w:r>
        <w:t xml:space="preserve"> </w:t>
      </w:r>
    </w:p>
    <w:p w14:paraId="3C6441F0" w14:textId="65B40FCE" w:rsidR="009F0D24" w:rsidRPr="001B16B4" w:rsidRDefault="009F0D24" w:rsidP="00584B49">
      <w:pPr>
        <w:jc w:val="both"/>
        <w:rPr>
          <w:i/>
          <w:iCs/>
          <w:sz w:val="20"/>
          <w:szCs w:val="20"/>
        </w:rPr>
      </w:pPr>
      <w:r>
        <w:rPr>
          <w:i/>
          <w:iCs/>
          <w:sz w:val="20"/>
          <w:szCs w:val="20"/>
        </w:rPr>
        <w:t>*Domanda a risposta multipla</w:t>
      </w:r>
    </w:p>
    <w:p w14:paraId="378B67AF" w14:textId="4D5E2556" w:rsidR="00C74476" w:rsidRDefault="00EC72A6" w:rsidP="00584B49">
      <w:pPr>
        <w:jc w:val="both"/>
      </w:pPr>
      <w:r>
        <w:t>Se invece si considerano non i fattori prevalenti  ma quelli comunque rilevanti per la scelta dei fornitori, le percentuali, naturalmente</w:t>
      </w:r>
      <w:r w:rsidR="00C74476">
        <w:t xml:space="preserve">, aumentano ma la graduatoria rimane immutata:  i rapporti consolidati con il fornitore vengono indicati da ben il 70% delle imprese intervistate come fattore di scelta presente, il buon equilibrio tra qualità e prezzo dal 53% </w:t>
      </w:r>
      <w:r>
        <w:t xml:space="preserve"> </w:t>
      </w:r>
      <w:r w:rsidR="00C74476">
        <w:t>e l’affidabilità/qualità del fornitore dal</w:t>
      </w:r>
      <w:r w:rsidR="005C7D09">
        <w:t xml:space="preserve"> </w:t>
      </w:r>
      <w:r w:rsidR="00C74476">
        <w:t>39%.</w:t>
      </w:r>
    </w:p>
    <w:p w14:paraId="7A157485" w14:textId="77777777" w:rsidR="00EC72A6" w:rsidRPr="00A330EA" w:rsidRDefault="00C74476" w:rsidP="00584B49">
      <w:pPr>
        <w:jc w:val="both"/>
        <w:rPr>
          <w:b/>
        </w:rPr>
      </w:pPr>
      <w:r>
        <w:t xml:space="preserve">Se confrontiamo questi risultati con quelli delle interviste alle imprese industriali  e di servizi notiamo che per entrambe il fattore che </w:t>
      </w:r>
      <w:r w:rsidR="005C7D09">
        <w:t>viene segnalato dal maggior numero aziende come presente nella scelta dei fornitori è il rapporto qualità/prezzo (rispettivamente 55% e 48%), seguito dall’affidabilità e qualità del fornitore</w:t>
      </w:r>
      <w:r>
        <w:t xml:space="preserve"> </w:t>
      </w:r>
      <w:r w:rsidR="005C7D09">
        <w:t>(39% e 33%) e , solo al terzo posto, dalla stabilità del rapporto con il fornitore (36%e 30</w:t>
      </w:r>
      <w:r w:rsidR="005C7D09" w:rsidRPr="00A330EA">
        <w:rPr>
          <w:b/>
        </w:rPr>
        <w:t xml:space="preserve">%). Le imprese agricole, quindi, </w:t>
      </w:r>
      <w:r w:rsidR="004D430F" w:rsidRPr="00A330EA">
        <w:rPr>
          <w:b/>
        </w:rPr>
        <w:t>privilegiano la tradizione di un rapporto consolidato con il fornitore agli stessi fattori economici  derivanti da un buon rapporto qualità/prezzo e dall’affidabilità del fornitore</w:t>
      </w:r>
      <w:r w:rsidR="00FA017B" w:rsidRPr="00A330EA">
        <w:rPr>
          <w:b/>
        </w:rPr>
        <w:t>,</w:t>
      </w:r>
      <w:r w:rsidR="00A70BEB" w:rsidRPr="00A330EA">
        <w:rPr>
          <w:b/>
        </w:rPr>
        <w:t xml:space="preserve"> che invece risultano </w:t>
      </w:r>
      <w:r w:rsidR="00540E38" w:rsidRPr="00A330EA">
        <w:rPr>
          <w:b/>
        </w:rPr>
        <w:t xml:space="preserve">più </w:t>
      </w:r>
      <w:r w:rsidR="00A70BEB" w:rsidRPr="00A330EA">
        <w:rPr>
          <w:b/>
        </w:rPr>
        <w:t>cruciali per le imprese manifatturiere e terziarie</w:t>
      </w:r>
      <w:r w:rsidR="004D430F" w:rsidRPr="00A330EA">
        <w:rPr>
          <w:b/>
        </w:rPr>
        <w:t>.</w:t>
      </w:r>
      <w:r w:rsidR="00A70BEB" w:rsidRPr="00A330EA">
        <w:rPr>
          <w:b/>
        </w:rPr>
        <w:t xml:space="preserve"> Fattori economici che</w:t>
      </w:r>
      <w:r w:rsidR="004D430F" w:rsidRPr="00A330EA">
        <w:rPr>
          <w:b/>
        </w:rPr>
        <w:t>, come abbiamo visto più sopra</w:t>
      </w:r>
      <w:r w:rsidR="00A70BEB" w:rsidRPr="00A330EA">
        <w:rPr>
          <w:b/>
        </w:rPr>
        <w:t>, hanno per le imprese agricole giovanili una importanza relativa superiore alla media</w:t>
      </w:r>
      <w:r w:rsidR="00FA017B" w:rsidRPr="00A330EA">
        <w:rPr>
          <w:b/>
        </w:rPr>
        <w:t xml:space="preserve"> rendendole più simili nella scelta del fornitore alle imprese degli altri settori.</w:t>
      </w:r>
    </w:p>
    <w:p w14:paraId="15D076B0" w14:textId="77777777" w:rsidR="00574006" w:rsidRDefault="00574006" w:rsidP="00584B49">
      <w:pPr>
        <w:jc w:val="both"/>
      </w:pPr>
    </w:p>
    <w:p w14:paraId="7965E8A5" w14:textId="77777777" w:rsidR="00540E38" w:rsidRDefault="00540E38" w:rsidP="00584B49">
      <w:pPr>
        <w:jc w:val="both"/>
        <w:rPr>
          <w:b/>
          <w:sz w:val="28"/>
          <w:szCs w:val="28"/>
          <w:u w:val="single"/>
        </w:rPr>
      </w:pPr>
      <w:r w:rsidRPr="00574006">
        <w:rPr>
          <w:b/>
          <w:sz w:val="28"/>
          <w:szCs w:val="28"/>
          <w:u w:val="single"/>
        </w:rPr>
        <w:t>CAMBIAMENTO CLIMATICO</w:t>
      </w:r>
      <w:r w:rsidR="00574006">
        <w:rPr>
          <w:b/>
          <w:sz w:val="28"/>
          <w:szCs w:val="28"/>
          <w:u w:val="single"/>
        </w:rPr>
        <w:t xml:space="preserve">, </w:t>
      </w:r>
      <w:r w:rsidR="001C18BB" w:rsidRPr="00574006">
        <w:rPr>
          <w:b/>
          <w:sz w:val="28"/>
          <w:szCs w:val="28"/>
          <w:u w:val="single"/>
        </w:rPr>
        <w:t>GREEN ECONOMY E SVILUPPO SOSTENIBILE</w:t>
      </w:r>
    </w:p>
    <w:p w14:paraId="559AF04F" w14:textId="77777777" w:rsidR="00574006" w:rsidRPr="00574006" w:rsidRDefault="00574006" w:rsidP="00584B49">
      <w:pPr>
        <w:jc w:val="both"/>
        <w:rPr>
          <w:b/>
          <w:sz w:val="28"/>
          <w:szCs w:val="28"/>
          <w:u w:val="single"/>
        </w:rPr>
      </w:pPr>
    </w:p>
    <w:p w14:paraId="3401F5F8" w14:textId="2151081D" w:rsidR="001C18BB" w:rsidRPr="00A330EA" w:rsidRDefault="001C18BB" w:rsidP="00584B49">
      <w:pPr>
        <w:jc w:val="both"/>
        <w:rPr>
          <w:b/>
        </w:rPr>
      </w:pPr>
      <w:r>
        <w:t xml:space="preserve">Ben </w:t>
      </w:r>
      <w:r w:rsidRPr="00DC23ED">
        <w:rPr>
          <w:b/>
        </w:rPr>
        <w:t>l’</w:t>
      </w:r>
      <w:r w:rsidR="000F795F">
        <w:rPr>
          <w:b/>
        </w:rPr>
        <w:t>7</w:t>
      </w:r>
      <w:r w:rsidRPr="00DC23ED">
        <w:rPr>
          <w:b/>
        </w:rPr>
        <w:t>8% delle imprese</w:t>
      </w:r>
      <w:r w:rsidR="004470CF">
        <w:t xml:space="preserve"> intervistate dichiara</w:t>
      </w:r>
      <w:r>
        <w:t xml:space="preserve"> di </w:t>
      </w:r>
      <w:r w:rsidRPr="00DC23ED">
        <w:rPr>
          <w:b/>
        </w:rPr>
        <w:t xml:space="preserve">ritenere necessario investire contrastare il cambiamento climatico </w:t>
      </w:r>
      <w:r w:rsidR="009B0946">
        <w:t>e le sue drammatiche conseguenze</w:t>
      </w:r>
      <w:r>
        <w:t xml:space="preserve">, percentuale </w:t>
      </w:r>
      <w:r w:rsidR="009B0946">
        <w:t xml:space="preserve">sostanzialmente costante per tutte le diverse tipologie di azienda agricola e </w:t>
      </w:r>
      <w:r>
        <w:t xml:space="preserve">molto superiore a quelle registrate per le imprese industriali (63%) e di servizi (55%). </w:t>
      </w:r>
      <w:r w:rsidR="00686929">
        <w:t xml:space="preserve">Alla base c’è sicuramente </w:t>
      </w:r>
      <w:r w:rsidR="00686929" w:rsidRPr="00A330EA">
        <w:rPr>
          <w:b/>
        </w:rPr>
        <w:t>l</w:t>
      </w:r>
      <w:r w:rsidRPr="00A330EA">
        <w:rPr>
          <w:b/>
        </w:rPr>
        <w:t>a consapevolezza che la qualità in termini ambientali del territorio rappresenta un fattore decisivo per l’</w:t>
      </w:r>
      <w:r w:rsidR="00DC23ED" w:rsidRPr="00A330EA">
        <w:rPr>
          <w:b/>
        </w:rPr>
        <w:t xml:space="preserve">impresa agricola che ne </w:t>
      </w:r>
      <w:r w:rsidR="00686929" w:rsidRPr="00A330EA">
        <w:rPr>
          <w:b/>
        </w:rPr>
        <w:t xml:space="preserve"> </w:t>
      </w:r>
      <w:r w:rsidR="00DC23ED" w:rsidRPr="00A330EA">
        <w:rPr>
          <w:b/>
        </w:rPr>
        <w:t>determina la</w:t>
      </w:r>
      <w:r w:rsidR="00686929" w:rsidRPr="00A330EA">
        <w:rPr>
          <w:b/>
        </w:rPr>
        <w:t xml:space="preserve"> quantità/q</w:t>
      </w:r>
      <w:r w:rsidR="009B0946" w:rsidRPr="00A330EA">
        <w:rPr>
          <w:b/>
        </w:rPr>
        <w:t xml:space="preserve">ualità del prodotto, </w:t>
      </w:r>
      <w:r w:rsidR="00686929" w:rsidRPr="00A330EA">
        <w:rPr>
          <w:b/>
        </w:rPr>
        <w:t xml:space="preserve"> più di quanto non lo sia per le imprese degli altri settori.</w:t>
      </w:r>
    </w:p>
    <w:p w14:paraId="4A45FAD1" w14:textId="46D17550" w:rsidR="00686929" w:rsidRDefault="00686929" w:rsidP="00584B49">
      <w:pPr>
        <w:jc w:val="both"/>
      </w:pPr>
      <w:r>
        <w:t>Ma anche le motivazioni di questa maggiore sensibilità ambientale spiega</w:t>
      </w:r>
      <w:r w:rsidR="00A330EA">
        <w:t>no</w:t>
      </w:r>
      <w:r>
        <w:t xml:space="preserve"> il differenziale rispetto agli altri settori</w:t>
      </w:r>
      <w:r w:rsidRPr="00A330EA">
        <w:rPr>
          <w:b/>
        </w:rPr>
        <w:t>.  La causa  indicata di gran lunga come principale</w:t>
      </w:r>
      <w:r w:rsidR="007A64CE" w:rsidRPr="00A330EA">
        <w:rPr>
          <w:b/>
        </w:rPr>
        <w:t xml:space="preserve"> </w:t>
      </w:r>
      <w:r w:rsidRPr="00A330EA">
        <w:rPr>
          <w:b/>
        </w:rPr>
        <w:t xml:space="preserve"> della necessità di investire per ridurre o annullare l’impronta ambientale della propria azienda  sono, infatti, per le imprese agricole le regole imposte a livello nazionale ed europeo</w:t>
      </w:r>
      <w:r w:rsidR="00F37386" w:rsidRPr="00A330EA">
        <w:rPr>
          <w:b/>
        </w:rPr>
        <w:t xml:space="preserve"> (4</w:t>
      </w:r>
      <w:r w:rsidR="00483E3F">
        <w:rPr>
          <w:b/>
        </w:rPr>
        <w:t>7</w:t>
      </w:r>
      <w:r w:rsidR="00F37386" w:rsidRPr="00A330EA">
        <w:rPr>
          <w:b/>
        </w:rPr>
        <w:t>%)</w:t>
      </w:r>
      <w:r w:rsidR="007A64CE" w:rsidRPr="00A330EA">
        <w:rPr>
          <w:b/>
        </w:rPr>
        <w:t xml:space="preserve">, dove </w:t>
      </w:r>
      <w:r w:rsidRPr="00A330EA">
        <w:rPr>
          <w:b/>
        </w:rPr>
        <w:t xml:space="preserve"> </w:t>
      </w:r>
      <w:r w:rsidR="00F324FB">
        <w:rPr>
          <w:b/>
        </w:rPr>
        <w:t>quelle de</w:t>
      </w:r>
      <w:r w:rsidR="007A64CE" w:rsidRPr="00A330EA">
        <w:rPr>
          <w:b/>
        </w:rPr>
        <w:t xml:space="preserve">lla Politica Agricola Comune  dell’UE  </w:t>
      </w:r>
      <w:r w:rsidR="00DC23ED" w:rsidRPr="00A330EA">
        <w:rPr>
          <w:b/>
        </w:rPr>
        <w:t xml:space="preserve">(PAC) </w:t>
      </w:r>
      <w:r w:rsidR="0085606D" w:rsidRPr="00A330EA">
        <w:rPr>
          <w:b/>
        </w:rPr>
        <w:t xml:space="preserve">sono </w:t>
      </w:r>
      <w:r w:rsidR="00F37386" w:rsidRPr="00A330EA">
        <w:rPr>
          <w:b/>
        </w:rPr>
        <w:t xml:space="preserve">sicuramente </w:t>
      </w:r>
      <w:r w:rsidR="007A64CE" w:rsidRPr="00A330EA">
        <w:rPr>
          <w:b/>
        </w:rPr>
        <w:t xml:space="preserve">quelle più  rilevanti. </w:t>
      </w:r>
      <w:r w:rsidR="007A64CE">
        <w:t xml:space="preserve"> </w:t>
      </w:r>
      <w:r w:rsidR="00A330EA">
        <w:t xml:space="preserve">A </w:t>
      </w:r>
      <w:r w:rsidR="00DC23ED">
        <w:t>partire d</w:t>
      </w:r>
      <w:r w:rsidR="007A64CE">
        <w:t>alla riforma Mac Sharry</w:t>
      </w:r>
      <w:r w:rsidR="00DC23ED">
        <w:t xml:space="preserve"> (1992)</w:t>
      </w:r>
      <w:r w:rsidR="007A64CE">
        <w:t xml:space="preserve"> in poi la Pac </w:t>
      </w:r>
      <w:r w:rsidR="00A330EA">
        <w:t xml:space="preserve"> </w:t>
      </w:r>
      <w:r w:rsidR="007A64CE">
        <w:t>ha previsto contributi sempre maggiori alle aziende che si sottopongono alla condizionalità ambientale, cioè che si impegnano ad utilizzare pratiche agronomiche e zootecniche maggiorme</w:t>
      </w:r>
      <w:r w:rsidR="001617A6">
        <w:t>nte rispettose dell’ambiente</w:t>
      </w:r>
      <w:r w:rsidR="007A64CE">
        <w:t xml:space="preserve"> </w:t>
      </w:r>
      <w:r w:rsidR="00844EB3">
        <w:t>(biologico, agricoltura integrata, rotazione dei terreni, set- aside (messa a riposo) dei terreni ecc.</w:t>
      </w:r>
      <w:r w:rsidR="00A330EA">
        <w:t>)</w:t>
      </w:r>
      <w:r w:rsidR="00844EB3">
        <w:t xml:space="preserve">, fino ad arrivare </w:t>
      </w:r>
      <w:r w:rsidR="00DC23ED">
        <w:t xml:space="preserve">da un decennio a questa parte con le ultime riforme </w:t>
      </w:r>
      <w:r w:rsidR="00844EB3">
        <w:t>a rendere alcuni di loro obbligatori per potere accedere ai contributi.</w:t>
      </w:r>
      <w:r w:rsidR="007A64CE">
        <w:t xml:space="preserve"> </w:t>
      </w:r>
      <w:r w:rsidR="00F37386">
        <w:t xml:space="preserve">Anche per le imprese industriali e di servizio i vincoli imposti a livello nazionale ed europeo rappresentano la causa principale degli investimenti </w:t>
      </w:r>
      <w:r w:rsidR="001617A6">
        <w:t>per ridurre l’impatto aziendale,</w:t>
      </w:r>
      <w:r w:rsidR="0085606D">
        <w:t xml:space="preserve"> ma con percentuali decisamente inferiori (rispettivamente 37% e 33%).</w:t>
      </w:r>
    </w:p>
    <w:p w14:paraId="79B407F4" w14:textId="77777777" w:rsidR="00540E38" w:rsidRDefault="00604913" w:rsidP="00584B49">
      <w:pPr>
        <w:jc w:val="both"/>
      </w:pPr>
      <w:r>
        <w:t>Ma non sono solo i vincoli imposti dall’esterno a deter</w:t>
      </w:r>
      <w:r w:rsidR="00A330EA">
        <w:t>minare gli investimenti</w:t>
      </w:r>
      <w:r>
        <w:t xml:space="preserve"> delle imprese agricole finalizzati a  ridurre  l’impatto ambientale</w:t>
      </w:r>
      <w:r w:rsidR="0038263B">
        <w:t xml:space="preserve">, al secondo posto con il 22% delle risposte troviamo come motivazione la </w:t>
      </w:r>
      <w:r w:rsidR="0038263B" w:rsidRPr="0038263B">
        <w:rPr>
          <w:b/>
        </w:rPr>
        <w:t>consapevolezza che l’inquinamento e il cambiamento climatico rappresentano un rischio per l’azienda e la società</w:t>
      </w:r>
      <w:r w:rsidR="0038263B">
        <w:t>. Come abbiamo accennato all’inizio</w:t>
      </w:r>
      <w:r w:rsidR="00A655C5">
        <w:t xml:space="preserve"> del paragrafo</w:t>
      </w:r>
      <w:r w:rsidR="0038263B">
        <w:t>, una delle particolarità della produzione agricola è proprio quella di dipendere dalla salubrità dell’ambiente in cui  opera e dall’andamento climatico</w:t>
      </w:r>
      <w:r>
        <w:t xml:space="preserve"> </w:t>
      </w:r>
      <w:r w:rsidR="0038263B">
        <w:t>e meteorologico</w:t>
      </w:r>
      <w:r w:rsidR="00A655C5">
        <w:t>, che ne determinano sia i</w:t>
      </w:r>
      <w:r w:rsidR="007F162C">
        <w:t xml:space="preserve"> l</w:t>
      </w:r>
      <w:r w:rsidR="00A655C5">
        <w:t>ivelli quantitativi che le caratteristiche qualitative.</w:t>
      </w:r>
    </w:p>
    <w:p w14:paraId="0AA2084A" w14:textId="77777777" w:rsidR="00FA190E" w:rsidRDefault="007F162C" w:rsidP="00584B49">
      <w:pPr>
        <w:jc w:val="both"/>
      </w:pPr>
      <w:r>
        <w:t xml:space="preserve">Al terzo posto tra le cause troviamo la convinzione che questo tipo di investimenti </w:t>
      </w:r>
      <w:r w:rsidRPr="007F162C">
        <w:rPr>
          <w:b/>
        </w:rPr>
        <w:t xml:space="preserve">migliori l’immagine e la reputazione dell’azienda </w:t>
      </w:r>
      <w:r>
        <w:t>(21%)</w:t>
      </w:r>
      <w:r w:rsidR="009B0946">
        <w:t>, percentuale che sale al 30%  se consideriamo solo le imprese di maggiori dimensioni, evidentemente le più sensibili a questo tipo di motivazione</w:t>
      </w:r>
      <w:r w:rsidR="00840663">
        <w:t>.</w:t>
      </w:r>
      <w:r w:rsidR="004A09C1">
        <w:t xml:space="preserve">  </w:t>
      </w:r>
      <w:r w:rsidR="004A09C1" w:rsidRPr="00447F5E">
        <w:rPr>
          <w:b/>
        </w:rPr>
        <w:t>L’attenzione alla reputazione dell’azienda e alla sanzione sociale è particolarmente forte nelle aziende zootecniche di allevamento, che stanno subendo in questi ultimi periodi un vero e proprio attacco mediatico</w:t>
      </w:r>
      <w:r w:rsidR="00FA190E" w:rsidRPr="00447F5E">
        <w:rPr>
          <w:b/>
        </w:rPr>
        <w:t>,</w:t>
      </w:r>
      <w:r w:rsidR="004A09C1" w:rsidRPr="00447F5E">
        <w:rPr>
          <w:b/>
        </w:rPr>
        <w:t xml:space="preserve"> che ne condanna i comportamenti più dannosi per l’ambiente e il benessere animale</w:t>
      </w:r>
      <w:r w:rsidR="00FA190E" w:rsidRPr="00447F5E">
        <w:rPr>
          <w:b/>
        </w:rPr>
        <w:t xml:space="preserve">, </w:t>
      </w:r>
      <w:r w:rsidR="00FA190E">
        <w:t>infatti proprio la reputazione e l’immagine dell’azienda raccolgono il 31% delle risposte di questo tipo di aziende.</w:t>
      </w:r>
    </w:p>
    <w:p w14:paraId="0524C10C" w14:textId="77777777" w:rsidR="007F162C" w:rsidRDefault="00FA190E" w:rsidP="00584B49">
      <w:pPr>
        <w:jc w:val="both"/>
      </w:pPr>
      <w:r>
        <w:t xml:space="preserve">Continuando nella graduatoria delle cause più rilevanti che hanno spinto le aziende ad  avviare investimenti per ridurre l’impatto ambientale, troviamo </w:t>
      </w:r>
      <w:r w:rsidR="00822094">
        <w:t xml:space="preserve">una motivazione più strettamente economica dovuta al fatto </w:t>
      </w:r>
      <w:r>
        <w:t xml:space="preserve"> </w:t>
      </w:r>
      <w:r w:rsidR="005F5CC1">
        <w:t xml:space="preserve">che questi rappresentano una </w:t>
      </w:r>
      <w:r w:rsidR="005F5CC1" w:rsidRPr="005F5CC1">
        <w:rPr>
          <w:b/>
        </w:rPr>
        <w:t>risposta all’aumento dei prezzi delle materie prime  ed  energetiche</w:t>
      </w:r>
      <w:r w:rsidR="00822094">
        <w:rPr>
          <w:b/>
        </w:rPr>
        <w:t xml:space="preserve"> </w:t>
      </w:r>
      <w:r w:rsidR="00822094">
        <w:t>(20%)</w:t>
      </w:r>
      <w:r w:rsidR="005F5CC1">
        <w:t>.</w:t>
      </w:r>
      <w:r>
        <w:t xml:space="preserve"> </w:t>
      </w:r>
      <w:r w:rsidR="005F5CC1">
        <w:t xml:space="preserve"> </w:t>
      </w:r>
      <w:r w:rsidR="005F5CC1" w:rsidRPr="00447F5E">
        <w:rPr>
          <w:b/>
        </w:rPr>
        <w:t>Per le aziende agricole</w:t>
      </w:r>
      <w:r w:rsidR="00822094" w:rsidRPr="00447F5E">
        <w:rPr>
          <w:b/>
        </w:rPr>
        <w:t xml:space="preserve">,infatti, </w:t>
      </w:r>
      <w:r w:rsidR="005F5CC1" w:rsidRPr="00447F5E">
        <w:rPr>
          <w:b/>
        </w:rPr>
        <w:t xml:space="preserve"> questo tipo di investimenti  riguarda soprattutto la produzione di energie alternative (fotovoltaico, in particolare sui tetti delle stalle e dei magazzini, biogas, solare termico), che in questo periodo di forte aumento dei prezzi dell’</w:t>
      </w:r>
      <w:r w:rsidR="00822094" w:rsidRPr="00447F5E">
        <w:rPr>
          <w:b/>
        </w:rPr>
        <w:t>energia</w:t>
      </w:r>
      <w:r w:rsidR="005F5CC1" w:rsidRPr="00447F5E">
        <w:rPr>
          <w:b/>
        </w:rPr>
        <w:t xml:space="preserve"> è diventata</w:t>
      </w:r>
      <w:r w:rsidR="00822094" w:rsidRPr="00447F5E">
        <w:rPr>
          <w:b/>
        </w:rPr>
        <w:t xml:space="preserve"> l’unica opportunità per diminuire i costi energetic</w:t>
      </w:r>
      <w:r w:rsidR="00447F5E" w:rsidRPr="00447F5E">
        <w:rPr>
          <w:b/>
        </w:rPr>
        <w:t>i</w:t>
      </w:r>
      <w:r w:rsidR="00822094" w:rsidRPr="00447F5E">
        <w:rPr>
          <w:b/>
        </w:rPr>
        <w:t>: per imprese energivore, come la gran parte delle imprese agricole, soprattutto quelle zootecniche, questa è diventata una necessità per  sopravvivere.</w:t>
      </w:r>
      <w:r w:rsidR="00822094">
        <w:t xml:space="preserve"> </w:t>
      </w:r>
    </w:p>
    <w:p w14:paraId="6E0EABBE" w14:textId="5F95401F" w:rsidR="004A09C1" w:rsidRDefault="00822094" w:rsidP="00584B49">
      <w:pPr>
        <w:jc w:val="both"/>
        <w:rPr>
          <w:b/>
        </w:rPr>
      </w:pPr>
      <w:r>
        <w:t>Infine, si segnala  un’altra causa di carattere economico</w:t>
      </w:r>
      <w:r w:rsidR="001E3F97">
        <w:t xml:space="preserve">, che raccoglie un numero significativo di risposte (10%): </w:t>
      </w:r>
      <w:r w:rsidR="001E3F97" w:rsidRPr="001E3F97">
        <w:rPr>
          <w:b/>
        </w:rPr>
        <w:t>l’opportunità economica</w:t>
      </w:r>
      <w:r w:rsidR="001E3F97">
        <w:t xml:space="preserve"> e più in generale il </w:t>
      </w:r>
      <w:r w:rsidR="001E3F97" w:rsidRPr="001E3F97">
        <w:rPr>
          <w:b/>
        </w:rPr>
        <w:t>vantaggio competitivo</w:t>
      </w:r>
      <w:r w:rsidR="001E3F97">
        <w:t xml:space="preserve"> che questi investimenti comportano. </w:t>
      </w:r>
      <w:r w:rsidR="001E3F97" w:rsidRPr="00447F5E">
        <w:rPr>
          <w:b/>
        </w:rPr>
        <w:t>Per quanto riguarda il vantaggio competitivo possiamo ricollegarci a quanto osservato appena più sopra, mentre a proposito dell’ opportunità economica</w:t>
      </w:r>
      <w:r w:rsidR="00E7700E" w:rsidRPr="00447F5E">
        <w:rPr>
          <w:b/>
        </w:rPr>
        <w:t xml:space="preserve"> si deve ricord</w:t>
      </w:r>
      <w:r w:rsidR="001E3F97" w:rsidRPr="00447F5E">
        <w:rPr>
          <w:b/>
        </w:rPr>
        <w:t xml:space="preserve">are </w:t>
      </w:r>
      <w:r w:rsidR="00E7700E" w:rsidRPr="00447F5E">
        <w:rPr>
          <w:b/>
        </w:rPr>
        <w:t xml:space="preserve">che negli ultimi 15 anni i fondi del Programma di Sviluppo Rurale (PSR) della PAC  hanno permesso di  realizzare </w:t>
      </w:r>
      <w:r w:rsidR="004A788F" w:rsidRPr="00447F5E">
        <w:rPr>
          <w:b/>
        </w:rPr>
        <w:t xml:space="preserve">molti </w:t>
      </w:r>
      <w:r w:rsidR="00E7700E" w:rsidRPr="00447F5E">
        <w:rPr>
          <w:b/>
        </w:rPr>
        <w:t xml:space="preserve">impianti per la produzione di energie alternative </w:t>
      </w:r>
      <w:r w:rsidR="004A788F" w:rsidRPr="00447F5E">
        <w:rPr>
          <w:b/>
        </w:rPr>
        <w:t>con finanziamenti a fondo perduto.</w:t>
      </w:r>
    </w:p>
    <w:p w14:paraId="7BC9DFD7" w14:textId="29E4B921" w:rsidR="000F795F" w:rsidRPr="000F795F" w:rsidRDefault="000F795F" w:rsidP="00584B49">
      <w:pPr>
        <w:jc w:val="both"/>
        <w:rPr>
          <w:b/>
          <w:i/>
          <w:iCs/>
        </w:rPr>
      </w:pPr>
      <w:r>
        <w:rPr>
          <w:b/>
          <w:i/>
          <w:iCs/>
        </w:rPr>
        <w:t>Imprese che ritengono necessario investire in tecnologie che riducono l’impatto ambientale e motivazioni</w:t>
      </w:r>
      <w:r w:rsidRPr="000F795F">
        <w:rPr>
          <w:b/>
          <w:i/>
          <w:iCs/>
        </w:rPr>
        <w:t xml:space="preserve"> (valori %)</w:t>
      </w:r>
    </w:p>
    <w:p w14:paraId="737DFF36" w14:textId="76540ABE" w:rsidR="00F639B9" w:rsidRDefault="000F795F" w:rsidP="00584B49">
      <w:pPr>
        <w:jc w:val="both"/>
      </w:pPr>
      <w:r>
        <w:rPr>
          <w:noProof/>
        </w:rPr>
        <w:drawing>
          <wp:inline distT="0" distB="0" distL="0" distR="0" wp14:anchorId="112D1AB4" wp14:editId="73D1053C">
            <wp:extent cx="6103620" cy="4008120"/>
            <wp:effectExtent l="0" t="0" r="0" b="0"/>
            <wp:docPr id="9" name="Grafico 9">
              <a:extLst xmlns:a="http://schemas.openxmlformats.org/drawingml/2006/main">
                <a:ext uri="{FF2B5EF4-FFF2-40B4-BE49-F238E27FC236}">
                  <a16:creationId xmlns:a16="http://schemas.microsoft.com/office/drawing/2014/main" id="{2039A13E-079C-5B72-E736-A35CAE28BB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5781430" w14:textId="3D71BB7C" w:rsidR="000F795F" w:rsidRDefault="000F795F" w:rsidP="00584B49">
      <w:pPr>
        <w:jc w:val="both"/>
      </w:pPr>
      <w:r w:rsidRPr="007E72A0">
        <w:rPr>
          <w:i/>
          <w:iCs/>
          <w:sz w:val="20"/>
          <w:szCs w:val="20"/>
        </w:rPr>
        <w:t>Fonte: Indagine Centro studi Guglielmo Tagliacarne</w:t>
      </w:r>
      <w:r w:rsidR="009F0D24">
        <w:rPr>
          <w:i/>
          <w:iCs/>
          <w:sz w:val="20"/>
          <w:szCs w:val="20"/>
        </w:rPr>
        <w:t>-Unioncamere</w:t>
      </w:r>
      <w:r w:rsidRPr="007E72A0">
        <w:rPr>
          <w:i/>
          <w:iCs/>
          <w:sz w:val="20"/>
          <w:szCs w:val="20"/>
        </w:rPr>
        <w:t xml:space="preserve"> 2022</w:t>
      </w:r>
      <w:r>
        <w:t xml:space="preserve"> </w:t>
      </w:r>
    </w:p>
    <w:p w14:paraId="4F3263E1" w14:textId="6E0AC7E6" w:rsidR="009F0D24" w:rsidRPr="009F0D24" w:rsidRDefault="009F0D24" w:rsidP="00584B49">
      <w:pPr>
        <w:jc w:val="both"/>
        <w:rPr>
          <w:i/>
          <w:iCs/>
          <w:sz w:val="20"/>
          <w:szCs w:val="20"/>
        </w:rPr>
      </w:pPr>
      <w:r>
        <w:rPr>
          <w:i/>
          <w:iCs/>
          <w:sz w:val="20"/>
          <w:szCs w:val="20"/>
        </w:rPr>
        <w:t>*Domanda a risposta multipla</w:t>
      </w:r>
    </w:p>
    <w:p w14:paraId="066A47BC" w14:textId="469EE807" w:rsidR="00574006" w:rsidRPr="00574006" w:rsidRDefault="00DB1E63" w:rsidP="00584B49">
      <w:pPr>
        <w:jc w:val="both"/>
        <w:rPr>
          <w:b/>
          <w:sz w:val="28"/>
          <w:szCs w:val="28"/>
          <w:u w:val="single"/>
        </w:rPr>
      </w:pPr>
      <w:r w:rsidRPr="00574006">
        <w:rPr>
          <w:b/>
          <w:sz w:val="28"/>
          <w:szCs w:val="28"/>
          <w:u w:val="single"/>
        </w:rPr>
        <w:t xml:space="preserve">DINAMICA </w:t>
      </w:r>
      <w:r w:rsidR="004E53A2" w:rsidRPr="00574006">
        <w:rPr>
          <w:b/>
          <w:sz w:val="28"/>
          <w:szCs w:val="28"/>
          <w:u w:val="single"/>
        </w:rPr>
        <w:t>E TIPOLOGIA DEGLI INVESTIMENTI</w:t>
      </w:r>
      <w:r w:rsidR="00FE4697" w:rsidRPr="00574006">
        <w:rPr>
          <w:b/>
          <w:sz w:val="28"/>
          <w:szCs w:val="28"/>
          <w:u w:val="single"/>
        </w:rPr>
        <w:t xml:space="preserve"> GREEN</w:t>
      </w:r>
    </w:p>
    <w:p w14:paraId="364EA1B5" w14:textId="77777777" w:rsidR="004E53A2" w:rsidRDefault="004E53A2" w:rsidP="00584B49">
      <w:pPr>
        <w:jc w:val="both"/>
      </w:pPr>
      <w:r>
        <w:t xml:space="preserve">Nel </w:t>
      </w:r>
      <w:r w:rsidRPr="00E81913">
        <w:rPr>
          <w:b/>
        </w:rPr>
        <w:t>triennio Pre Covid 2017-2019</w:t>
      </w:r>
      <w:r>
        <w:t xml:space="preserve"> </w:t>
      </w:r>
      <w:r w:rsidR="00FE4697">
        <w:t xml:space="preserve"> il </w:t>
      </w:r>
      <w:r w:rsidR="00FE4697" w:rsidRPr="00E81913">
        <w:t>48%</w:t>
      </w:r>
      <w:r w:rsidR="00FE4697">
        <w:t xml:space="preserve"> del</w:t>
      </w:r>
      <w:r w:rsidR="00C32509">
        <w:t xml:space="preserve">le imprese </w:t>
      </w:r>
      <w:r>
        <w:t xml:space="preserve"> </w:t>
      </w:r>
      <w:r w:rsidR="00FE4697">
        <w:t xml:space="preserve">intervistate </w:t>
      </w:r>
      <w:r w:rsidR="00FE4697" w:rsidRPr="00E81913">
        <w:t>ha</w:t>
      </w:r>
      <w:r w:rsidRPr="00E81913">
        <w:t xml:space="preserve"> realizzato</w:t>
      </w:r>
      <w:r w:rsidRPr="00FE4697">
        <w:rPr>
          <w:b/>
        </w:rPr>
        <w:t xml:space="preserve"> </w:t>
      </w:r>
      <w:r w:rsidRPr="00E81913">
        <w:rPr>
          <w:b/>
        </w:rPr>
        <w:t xml:space="preserve">investimenti in processi e prodotti a maggior risparmio energetico, idrico e/o </w:t>
      </w:r>
      <w:r w:rsidR="00FE4697" w:rsidRPr="00E81913">
        <w:rPr>
          <w:b/>
        </w:rPr>
        <w:t>a minor impatto ambientale</w:t>
      </w:r>
      <w:r w:rsidR="00FE4697">
        <w:t>.</w:t>
      </w:r>
      <w:r w:rsidR="00514D1E">
        <w:t xml:space="preserve"> La percentuale sale al 52% per le imp</w:t>
      </w:r>
      <w:r w:rsidR="00174EFA">
        <w:t>r</w:t>
      </w:r>
      <w:r w:rsidR="00514D1E">
        <w:t>ese del settore agricoltura (</w:t>
      </w:r>
      <w:r w:rsidR="00174EFA">
        <w:t xml:space="preserve">coltivazione e allevamento), mentre percentuali più ridotte si osservano per </w:t>
      </w:r>
      <w:r w:rsidR="00FA7004">
        <w:t>le imprese della Silvicoltura (3</w:t>
      </w:r>
      <w:r w:rsidR="00174EFA">
        <w:t xml:space="preserve">7%) e della  </w:t>
      </w:r>
      <w:r w:rsidR="00FA7004">
        <w:t>Pesca (44%).</w:t>
      </w:r>
      <w:r w:rsidR="00C32509">
        <w:t xml:space="preserve"> Non si osservano in questo campo differenziazioni in base all’area di localizzazione dell’impresa, mentre per quanto riguarda la dimensione aziendale sono </w:t>
      </w:r>
      <w:r w:rsidR="00F234AC">
        <w:t xml:space="preserve">soprattutto </w:t>
      </w:r>
      <w:r w:rsidR="00C32509">
        <w:t xml:space="preserve">quelle </w:t>
      </w:r>
      <w:r w:rsidR="00C32509" w:rsidRPr="00F234AC">
        <w:rPr>
          <w:b/>
        </w:rPr>
        <w:t>più grandi</w:t>
      </w:r>
      <w:r w:rsidR="00C32509">
        <w:t xml:space="preserve"> , che </w:t>
      </w:r>
      <w:r w:rsidR="00F234AC">
        <w:t>dichiarano un maggior ricorso a questo tipo di investimenti (56%).</w:t>
      </w:r>
      <w:r w:rsidR="00E81913">
        <w:t xml:space="preserve"> L</w:t>
      </w:r>
      <w:r w:rsidR="00344E14">
        <w:t>e percentuale più basse</w:t>
      </w:r>
      <w:r w:rsidR="004C0F2B">
        <w:t xml:space="preserve"> si registra</w:t>
      </w:r>
      <w:r w:rsidR="00344E14">
        <w:t xml:space="preserve">no </w:t>
      </w:r>
      <w:r w:rsidR="00E81913">
        <w:t>, invece,</w:t>
      </w:r>
      <w:r w:rsidR="004C0F2B">
        <w:t xml:space="preserve"> per le </w:t>
      </w:r>
      <w:r w:rsidR="004C0F2B" w:rsidRPr="00E81913">
        <w:rPr>
          <w:b/>
        </w:rPr>
        <w:t>imprese giovanili</w:t>
      </w:r>
      <w:r w:rsidR="004C0F2B">
        <w:t xml:space="preserve"> (solo il 35% ha dichiarato di avere realizzato in questo periodo investimenti green)</w:t>
      </w:r>
      <w:r w:rsidR="00344E14">
        <w:t xml:space="preserve"> e per quelle </w:t>
      </w:r>
      <w:r w:rsidR="00344E14">
        <w:rPr>
          <w:b/>
        </w:rPr>
        <w:t>femminili</w:t>
      </w:r>
      <w:r w:rsidR="004C0F2B">
        <w:t>, probabilmente a causa di una minore disponibilità di risorse finanziarie tipica di queste imprese, ma forse anche per il fatto che tra il 2017 e il 2019 non erano ancora operanti</w:t>
      </w:r>
      <w:r w:rsidR="00344E14">
        <w:t xml:space="preserve"> (le imprese femminili sono mediamene più giovani della media)</w:t>
      </w:r>
      <w:r w:rsidR="004C0F2B">
        <w:t xml:space="preserve">. </w:t>
      </w:r>
      <w:r w:rsidR="00E81913">
        <w:t xml:space="preserve">Gli investimenti  hanno riguardato molto più i </w:t>
      </w:r>
      <w:r w:rsidR="00E81913" w:rsidRPr="00E81913">
        <w:rPr>
          <w:b/>
        </w:rPr>
        <w:t>processi produttivi</w:t>
      </w:r>
      <w:r w:rsidR="00E81913">
        <w:t xml:space="preserve"> (effic</w:t>
      </w:r>
      <w:r w:rsidR="00FE755C">
        <w:t>ie</w:t>
      </w:r>
      <w:r w:rsidR="00E81913">
        <w:t xml:space="preserve">ntamento energetico, riduzione delle emissioni, riduzione impiego idrico, utilizzo materie prime seconde ecc; 46%) che non i </w:t>
      </w:r>
      <w:r w:rsidR="00E81913" w:rsidRPr="00E81913">
        <w:rPr>
          <w:b/>
        </w:rPr>
        <w:t>prodotti</w:t>
      </w:r>
      <w:r w:rsidR="00E81913">
        <w:t xml:space="preserve"> (economia circolare, eco progettazione, miglioramento del profilo ambientale e dell’imballagio ecc.; 17%)</w:t>
      </w:r>
      <w:r w:rsidR="00CD01CB">
        <w:t>, come è normale per un settore come quello agricolo dove le innovazioni di prodot</w:t>
      </w:r>
      <w:r w:rsidR="00CF1D44">
        <w:t>to incontrano difficoltà fisico-</w:t>
      </w:r>
      <w:r w:rsidR="00CD01CB">
        <w:t>naturali</w:t>
      </w:r>
      <w:r w:rsidR="00CF1D44">
        <w:t xml:space="preserve"> intrinseche</w:t>
      </w:r>
      <w:r w:rsidR="00CD01CB">
        <w:t>.</w:t>
      </w:r>
    </w:p>
    <w:p w14:paraId="019E6F41" w14:textId="307851EE" w:rsidR="0084589E" w:rsidRDefault="00466C25" w:rsidP="00584B49">
      <w:pPr>
        <w:jc w:val="both"/>
      </w:pPr>
      <w:r w:rsidRPr="00447F5E">
        <w:rPr>
          <w:b/>
        </w:rPr>
        <w:t>Come era prevedibile, a causa dei blocchi produttivi nei periodi di Lockdown e della situazione di emergenza e incertezza  d</w:t>
      </w:r>
      <w:r w:rsidR="0056691B" w:rsidRPr="00447F5E">
        <w:rPr>
          <w:b/>
        </w:rPr>
        <w:t xml:space="preserve">urante la pandemia da Covid 19 </w:t>
      </w:r>
      <w:r w:rsidRPr="00447F5E">
        <w:rPr>
          <w:b/>
        </w:rPr>
        <w:t>(2020-2021)</w:t>
      </w:r>
      <w:r w:rsidR="0056691B" w:rsidRPr="00447F5E">
        <w:rPr>
          <w:b/>
        </w:rPr>
        <w:t xml:space="preserve"> gli investimenti Green </w:t>
      </w:r>
      <w:r w:rsidRPr="00447F5E">
        <w:rPr>
          <w:b/>
        </w:rPr>
        <w:t>sono calati</w:t>
      </w:r>
      <w:r w:rsidR="0056691B" w:rsidRPr="00447F5E">
        <w:rPr>
          <w:b/>
        </w:rPr>
        <w:t xml:space="preserve"> sensibilmente</w:t>
      </w:r>
      <w:r w:rsidR="0056691B">
        <w:t xml:space="preserve">: le imprese agricole che dichiarano di avere realizzato investimenti di questo tipo </w:t>
      </w:r>
      <w:r w:rsidR="00EC7BE4">
        <w:t>scendono al 3</w:t>
      </w:r>
      <w:r w:rsidR="00C127DB">
        <w:t>4</w:t>
      </w:r>
      <w:r w:rsidR="00EC7BE4">
        <w:t xml:space="preserve">%. Sono ancora i settori della </w:t>
      </w:r>
      <w:r w:rsidR="00EC7BE4" w:rsidRPr="0084589E">
        <w:rPr>
          <w:b/>
        </w:rPr>
        <w:t>Silvicoltura</w:t>
      </w:r>
      <w:r w:rsidR="00EC7BE4">
        <w:t xml:space="preserve"> e della </w:t>
      </w:r>
      <w:r w:rsidR="00EC7BE4" w:rsidRPr="0084589E">
        <w:rPr>
          <w:b/>
        </w:rPr>
        <w:t xml:space="preserve">Pesca </w:t>
      </w:r>
      <w:r w:rsidR="00EC7BE4">
        <w:t xml:space="preserve">quelli che registrano </w:t>
      </w:r>
      <w:r>
        <w:t>le percentuali più basse (rispettivamente 23% e 31%)</w:t>
      </w:r>
      <w:r w:rsidR="00375178">
        <w:t xml:space="preserve">, mentre le imprese di </w:t>
      </w:r>
      <w:r w:rsidR="00375178" w:rsidRPr="0084589E">
        <w:rPr>
          <w:b/>
        </w:rPr>
        <w:t>maggiori dimensioni</w:t>
      </w:r>
      <w:r w:rsidR="00375178">
        <w:t xml:space="preserve"> si confermano essere quelle che fanno registrare la percentuale più alta di risposte positive (46%). Dal punto di vista territoriale le imprese agricole del  </w:t>
      </w:r>
      <w:r w:rsidR="00375178" w:rsidRPr="0090721A">
        <w:rPr>
          <w:b/>
        </w:rPr>
        <w:t>Sud e delle Isole</w:t>
      </w:r>
      <w:r w:rsidR="00375178">
        <w:t xml:space="preserve"> hanno subito il </w:t>
      </w:r>
      <w:r w:rsidR="00375178" w:rsidRPr="0090721A">
        <w:rPr>
          <w:b/>
        </w:rPr>
        <w:t>calo più consistente</w:t>
      </w:r>
      <w:r w:rsidR="0090721A">
        <w:t xml:space="preserve"> (28%), mentre </w:t>
      </w:r>
      <w:r w:rsidR="00375178">
        <w:t xml:space="preserve"> </w:t>
      </w:r>
      <w:r w:rsidR="0090721A">
        <w:t xml:space="preserve">tengono il Nord-ovest e i Nord-est (in entrambe i casi 40%). Diversamente dal periodo Pre Covid (quando forse non erano ancora nate), le </w:t>
      </w:r>
      <w:r w:rsidR="0090721A" w:rsidRPr="00BF2005">
        <w:rPr>
          <w:b/>
        </w:rPr>
        <w:t>imprese giovanili</w:t>
      </w:r>
      <w:r w:rsidR="00344E14">
        <w:rPr>
          <w:b/>
        </w:rPr>
        <w:t xml:space="preserve"> e quelle femminili</w:t>
      </w:r>
      <w:r w:rsidR="0090721A">
        <w:t xml:space="preserve"> fanno registrare , invece, un tasso di risposta positivo superiore alla media (</w:t>
      </w:r>
      <w:r w:rsidR="00344E14">
        <w:t xml:space="preserve">rispettivamente </w:t>
      </w:r>
      <w:r w:rsidR="0090721A">
        <w:t>40%</w:t>
      </w:r>
      <w:r w:rsidR="00344E14">
        <w:t xml:space="preserve"> e 43%</w:t>
      </w:r>
      <w:r w:rsidR="0090721A">
        <w:t xml:space="preserve">). </w:t>
      </w:r>
      <w:r w:rsidR="0084589E">
        <w:t xml:space="preserve">Anche durante la Pandemia gli investimenti hanno interessato </w:t>
      </w:r>
      <w:r w:rsidR="0084589E" w:rsidRPr="0084589E">
        <w:rPr>
          <w:b/>
        </w:rPr>
        <w:t>più i processi produttivi</w:t>
      </w:r>
      <w:r w:rsidR="0084589E">
        <w:t xml:space="preserve"> (34% di risposte positive) </w:t>
      </w:r>
      <w:r w:rsidR="0084589E" w:rsidRPr="0084589E">
        <w:rPr>
          <w:b/>
        </w:rPr>
        <w:t>che non i prodotti</w:t>
      </w:r>
      <w:r w:rsidR="0084589E">
        <w:t xml:space="preserve"> (13%).</w:t>
      </w:r>
    </w:p>
    <w:p w14:paraId="4640FC54" w14:textId="57EB603B" w:rsidR="001911C4" w:rsidRDefault="0084589E" w:rsidP="00584B49">
      <w:pPr>
        <w:jc w:val="both"/>
      </w:pPr>
      <w:r w:rsidRPr="00447F5E">
        <w:rPr>
          <w:b/>
        </w:rPr>
        <w:t>Le previsioni per il triennio Post Covid</w:t>
      </w:r>
      <w:r w:rsidR="002C29BE" w:rsidRPr="00447F5E">
        <w:rPr>
          <w:b/>
        </w:rPr>
        <w:t xml:space="preserve"> 2022</w:t>
      </w:r>
      <w:r w:rsidRPr="00447F5E">
        <w:rPr>
          <w:b/>
        </w:rPr>
        <w:t>-2024</w:t>
      </w:r>
      <w:r w:rsidR="00CD01CB" w:rsidRPr="00447F5E">
        <w:rPr>
          <w:b/>
        </w:rPr>
        <w:t xml:space="preserve"> segnano una forte ripresa degli investimenti</w:t>
      </w:r>
      <w:r w:rsidR="00BF2005" w:rsidRPr="00447F5E">
        <w:rPr>
          <w:b/>
        </w:rPr>
        <w:t xml:space="preserve"> finalizzati</w:t>
      </w:r>
      <w:r w:rsidR="00621B01" w:rsidRPr="00447F5E">
        <w:rPr>
          <w:b/>
        </w:rPr>
        <w:t xml:space="preserve"> a ridurre l’impatto ambientale,</w:t>
      </w:r>
      <w:r w:rsidR="00BF2005" w:rsidRPr="00447F5E">
        <w:rPr>
          <w:b/>
        </w:rPr>
        <w:t xml:space="preserve"> con la metà </w:t>
      </w:r>
      <w:r w:rsidR="00621B01" w:rsidRPr="00447F5E">
        <w:rPr>
          <w:b/>
        </w:rPr>
        <w:t xml:space="preserve"> delle imprese intervistate che dichiarano la volontà di realizzarli</w:t>
      </w:r>
      <w:r w:rsidR="00BD410A" w:rsidRPr="00447F5E">
        <w:rPr>
          <w:b/>
        </w:rPr>
        <w:t xml:space="preserve"> (una quota più alta di quella dichiarata per la fase Pre Covid</w:t>
      </w:r>
      <w:r w:rsidR="001617A6" w:rsidRPr="00447F5E">
        <w:rPr>
          <w:b/>
        </w:rPr>
        <w:t>)</w:t>
      </w:r>
      <w:r w:rsidR="00621B01" w:rsidRPr="00447F5E">
        <w:rPr>
          <w:b/>
        </w:rPr>
        <w:t>.</w:t>
      </w:r>
      <w:r w:rsidR="00621B01">
        <w:t xml:space="preserve">   </w:t>
      </w:r>
      <w:r w:rsidR="00AA5E78">
        <w:t xml:space="preserve">Per quanto riguarda la propensione ad investire delle diverse tipologie di imprese agricole si </w:t>
      </w:r>
      <w:r w:rsidR="00AA5E78" w:rsidRPr="00F71F61">
        <w:rPr>
          <w:b/>
        </w:rPr>
        <w:t>conferma quanto osservato per i due periodi precedenti</w:t>
      </w:r>
      <w:r w:rsidR="00AA5E78">
        <w:t>:</w:t>
      </w:r>
      <w:r w:rsidR="00621B01">
        <w:t xml:space="preserve"> le imprese del </w:t>
      </w:r>
      <w:r w:rsidR="00621B01" w:rsidRPr="00F71F61">
        <w:t>settore agricolo</w:t>
      </w:r>
      <w:r w:rsidR="00BF2005">
        <w:t xml:space="preserve"> registrano percentuali più elevate (58%), mentre ancora una volta le imprese della Silvicoltura (31%) e della Pesca (44%) mostrano una minore propensione agli investimenti Green.  </w:t>
      </w:r>
      <w:r w:rsidR="00AA5E78">
        <w:t>L</w:t>
      </w:r>
      <w:r w:rsidR="00551BF4">
        <w:t>e</w:t>
      </w:r>
      <w:r w:rsidR="000A4E3D">
        <w:t xml:space="preserve"> </w:t>
      </w:r>
      <w:r w:rsidR="000A4E3D" w:rsidRPr="00F71F61">
        <w:t>imprese</w:t>
      </w:r>
      <w:r w:rsidR="00551BF4" w:rsidRPr="00F71F61">
        <w:t xml:space="preserve"> di maggiori dimensioni</w:t>
      </w:r>
      <w:r w:rsidR="00AA5E78">
        <w:rPr>
          <w:b/>
        </w:rPr>
        <w:t xml:space="preserve">  </w:t>
      </w:r>
      <w:r w:rsidR="00AA5E78">
        <w:t>fanno registrare le percentuali più alte:</w:t>
      </w:r>
      <w:r w:rsidR="00551BF4">
        <w:t xml:space="preserve"> prevedono di investire</w:t>
      </w:r>
      <w:r w:rsidR="00AA5E78">
        <w:t xml:space="preserve"> </w:t>
      </w:r>
      <w:r w:rsidR="00551BF4">
        <w:t xml:space="preserve"> il 64% di imprese oltre i 50 addetti e il 61% </w:t>
      </w:r>
      <w:r w:rsidR="00BD410A">
        <w:t xml:space="preserve"> di quelle tra </w:t>
      </w:r>
      <w:r w:rsidR="00551BF4">
        <w:t xml:space="preserve">10 e 49 addetti. Infine, le imprese agricole condotte da giovani </w:t>
      </w:r>
      <w:r w:rsidR="00344E14">
        <w:t xml:space="preserve">e quelle condotte da donne </w:t>
      </w:r>
      <w:r w:rsidR="00551BF4">
        <w:t>mostrano una maggiore propensione ad investire (</w:t>
      </w:r>
      <w:r w:rsidR="00344E14">
        <w:t xml:space="preserve">rispettivamente </w:t>
      </w:r>
      <w:r w:rsidR="00551BF4">
        <w:t xml:space="preserve">55% </w:t>
      </w:r>
      <w:r w:rsidR="00344E14">
        <w:t xml:space="preserve">e 61% </w:t>
      </w:r>
      <w:r w:rsidR="00551BF4">
        <w:t>di risposte positive) , mentre le imprese localizzate al  Sud e nelle Isole fanno registrare la percentuale più bassa tra tutte le aree (</w:t>
      </w:r>
      <w:r w:rsidR="00AA5E78">
        <w:t>43%)</w:t>
      </w:r>
      <w:r w:rsidR="00551BF4">
        <w:t>.</w:t>
      </w:r>
      <w:r w:rsidR="00AA5E78">
        <w:t xml:space="preserve"> Confermata  anche la prevalenza d</w:t>
      </w:r>
      <w:r w:rsidR="00F71F61">
        <w:t>egl</w:t>
      </w:r>
      <w:r w:rsidR="00AA5E78">
        <w:t xml:space="preserve">i </w:t>
      </w:r>
      <w:r w:rsidR="00F71F61">
        <w:t>investimenti Green nei processi produttivi (48%) rispetto a quelli  nei prodotti (20%).</w:t>
      </w:r>
    </w:p>
    <w:p w14:paraId="7BD7A6C6" w14:textId="1B25F6FD" w:rsidR="00AB6248" w:rsidRDefault="00AB6248" w:rsidP="00584B49">
      <w:pPr>
        <w:jc w:val="both"/>
      </w:pPr>
    </w:p>
    <w:p w14:paraId="1A810188" w14:textId="62248C08" w:rsidR="00AB6248" w:rsidRDefault="00AB6248" w:rsidP="00584B49">
      <w:pPr>
        <w:jc w:val="both"/>
      </w:pPr>
    </w:p>
    <w:p w14:paraId="2F1CEFA4" w14:textId="04222D2A" w:rsidR="00AB6248" w:rsidRDefault="00AB6248" w:rsidP="00584B49">
      <w:pPr>
        <w:jc w:val="both"/>
      </w:pPr>
    </w:p>
    <w:p w14:paraId="2E2B5BC8" w14:textId="506CD1FC" w:rsidR="00AB6248" w:rsidRDefault="00AB6248" w:rsidP="00584B49">
      <w:pPr>
        <w:jc w:val="both"/>
      </w:pPr>
    </w:p>
    <w:p w14:paraId="79C09193" w14:textId="6B9DBD38" w:rsidR="00AB6248" w:rsidRDefault="00AB6248" w:rsidP="00584B49">
      <w:pPr>
        <w:jc w:val="both"/>
      </w:pPr>
    </w:p>
    <w:p w14:paraId="1D710143" w14:textId="134A1AD2" w:rsidR="00AB6248" w:rsidRDefault="00AB6248" w:rsidP="00584B49">
      <w:pPr>
        <w:jc w:val="both"/>
      </w:pPr>
    </w:p>
    <w:p w14:paraId="1CF3959A" w14:textId="47BEE7F9" w:rsidR="00AB6248" w:rsidRDefault="00AB6248" w:rsidP="00584B49">
      <w:pPr>
        <w:jc w:val="both"/>
      </w:pPr>
    </w:p>
    <w:p w14:paraId="01D609B0" w14:textId="0B3E4A55" w:rsidR="00AB6248" w:rsidRDefault="00AB6248" w:rsidP="00584B49">
      <w:pPr>
        <w:jc w:val="both"/>
      </w:pPr>
    </w:p>
    <w:p w14:paraId="323CFBFD" w14:textId="77777777" w:rsidR="00AB6248" w:rsidRDefault="00AB6248" w:rsidP="00584B49">
      <w:pPr>
        <w:jc w:val="both"/>
      </w:pPr>
    </w:p>
    <w:p w14:paraId="4D864FB7" w14:textId="56A1B8BA" w:rsidR="00C127DB" w:rsidRPr="00C127DB" w:rsidRDefault="00C127DB" w:rsidP="00584B49">
      <w:pPr>
        <w:jc w:val="both"/>
        <w:rPr>
          <w:b/>
          <w:bCs/>
          <w:i/>
          <w:iCs/>
        </w:rPr>
      </w:pPr>
      <w:r w:rsidRPr="00C127DB">
        <w:rPr>
          <w:b/>
          <w:bCs/>
          <w:i/>
          <w:iCs/>
        </w:rPr>
        <w:t>Imprese che hanno o intendono investire in processi o prodotti a maggior risparmio energetico</w:t>
      </w:r>
      <w:r>
        <w:rPr>
          <w:b/>
          <w:bCs/>
          <w:i/>
          <w:iCs/>
        </w:rPr>
        <w:t xml:space="preserve"> (valori %)</w:t>
      </w:r>
    </w:p>
    <w:p w14:paraId="013E8105" w14:textId="7EA4F392" w:rsidR="00C127DB" w:rsidRDefault="00C127DB" w:rsidP="00584B49">
      <w:pPr>
        <w:jc w:val="both"/>
      </w:pPr>
      <w:r>
        <w:rPr>
          <w:noProof/>
        </w:rPr>
        <w:drawing>
          <wp:inline distT="0" distB="0" distL="0" distR="0" wp14:anchorId="20FC272C" wp14:editId="084F5CEF">
            <wp:extent cx="6111240" cy="2606040"/>
            <wp:effectExtent l="0" t="0" r="0" b="0"/>
            <wp:docPr id="16" name="Grafico 16">
              <a:extLst xmlns:a="http://schemas.openxmlformats.org/drawingml/2006/main">
                <a:ext uri="{FF2B5EF4-FFF2-40B4-BE49-F238E27FC236}">
                  <a16:creationId xmlns:a16="http://schemas.microsoft.com/office/drawing/2014/main" id="{61ADBDA5-DB5B-0215-C09C-6BCECC88BF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9211D4E" w14:textId="7A91DF2D" w:rsidR="00C127DB" w:rsidRPr="00C127DB" w:rsidRDefault="00C127DB" w:rsidP="00584B49">
      <w:pPr>
        <w:jc w:val="both"/>
        <w:rPr>
          <w:i/>
          <w:iCs/>
          <w:sz w:val="20"/>
          <w:szCs w:val="20"/>
        </w:rPr>
      </w:pPr>
      <w:r w:rsidRPr="007E72A0">
        <w:rPr>
          <w:i/>
          <w:iCs/>
          <w:sz w:val="20"/>
          <w:szCs w:val="20"/>
        </w:rPr>
        <w:t>Fonte: Indagine Centro studi Guglielmo Tagliacarne</w:t>
      </w:r>
      <w:r w:rsidR="009F0D24">
        <w:rPr>
          <w:i/>
          <w:iCs/>
          <w:sz w:val="20"/>
          <w:szCs w:val="20"/>
        </w:rPr>
        <w:t>-Unioncamere</w:t>
      </w:r>
      <w:r w:rsidRPr="007E72A0">
        <w:rPr>
          <w:i/>
          <w:iCs/>
          <w:sz w:val="20"/>
          <w:szCs w:val="20"/>
        </w:rPr>
        <w:t xml:space="preserve"> 2022</w:t>
      </w:r>
      <w:r>
        <w:t xml:space="preserve"> </w:t>
      </w:r>
    </w:p>
    <w:p w14:paraId="46FDA429" w14:textId="77777777" w:rsidR="008550A3" w:rsidRPr="00DB360C" w:rsidRDefault="008550A3" w:rsidP="00584B49">
      <w:pPr>
        <w:jc w:val="both"/>
        <w:rPr>
          <w:b/>
        </w:rPr>
      </w:pPr>
      <w:r w:rsidRPr="00DB360C">
        <w:rPr>
          <w:b/>
        </w:rPr>
        <w:t xml:space="preserve">In tutti e tre i periodi  possiamo osservare </w:t>
      </w:r>
      <w:r w:rsidR="002F48CC" w:rsidRPr="00DB360C">
        <w:rPr>
          <w:b/>
        </w:rPr>
        <w:t xml:space="preserve">delle regolarità: </w:t>
      </w:r>
      <w:r w:rsidRPr="00DB360C">
        <w:rPr>
          <w:b/>
        </w:rPr>
        <w:t xml:space="preserve">le imprese </w:t>
      </w:r>
      <w:r w:rsidR="002F48CC" w:rsidRPr="00DB360C">
        <w:rPr>
          <w:b/>
        </w:rPr>
        <w:t>che hanno realizzato o intendono</w:t>
      </w:r>
      <w:r w:rsidRPr="00DB360C">
        <w:rPr>
          <w:b/>
        </w:rPr>
        <w:t xml:space="preserve"> realizzare </w:t>
      </w:r>
      <w:r w:rsidR="002F48CC" w:rsidRPr="00DB360C">
        <w:rPr>
          <w:b/>
        </w:rPr>
        <w:t xml:space="preserve">più </w:t>
      </w:r>
      <w:r w:rsidRPr="00DB360C">
        <w:rPr>
          <w:b/>
        </w:rPr>
        <w:t>investimenti</w:t>
      </w:r>
      <w:r w:rsidR="002F48CC" w:rsidRPr="00DB360C">
        <w:rPr>
          <w:b/>
        </w:rPr>
        <w:t xml:space="preserve"> per la sostenibilità ambientale sono le imprese di maggiori dimensioni</w:t>
      </w:r>
      <w:r w:rsidR="00344E14">
        <w:rPr>
          <w:b/>
        </w:rPr>
        <w:t>,  quelle localizzate al Nord  quelle condotte da giovani e da donne,</w:t>
      </w:r>
      <w:r w:rsidR="002F48CC" w:rsidRPr="00DB360C">
        <w:rPr>
          <w:b/>
        </w:rPr>
        <w:t xml:space="preserve"> mentre una minore diffusione degli investimenti Green si manifesta nella Silvicoltura e nella Pesca e nelle imprese che operano al Sud e nelle Isole.</w:t>
      </w:r>
      <w:r w:rsidR="00447F5E" w:rsidRPr="00DB360C">
        <w:rPr>
          <w:b/>
        </w:rPr>
        <w:t xml:space="preserve"> </w:t>
      </w:r>
      <w:r w:rsidR="00A41FB8">
        <w:rPr>
          <w:b/>
        </w:rPr>
        <w:t xml:space="preserve"> In tutti e tre i periodi analizzati q</w:t>
      </w:r>
      <w:r w:rsidR="00447F5E" w:rsidRPr="00DB360C">
        <w:rPr>
          <w:b/>
        </w:rPr>
        <w:t xml:space="preserve">uesto tipo di investimenti </w:t>
      </w:r>
      <w:r w:rsidR="00A41FB8">
        <w:rPr>
          <w:b/>
        </w:rPr>
        <w:t xml:space="preserve"> </w:t>
      </w:r>
      <w:r w:rsidR="00DB360C" w:rsidRPr="00DB360C">
        <w:rPr>
          <w:b/>
        </w:rPr>
        <w:t>hanno</w:t>
      </w:r>
      <w:r w:rsidR="00A41FB8">
        <w:rPr>
          <w:b/>
        </w:rPr>
        <w:t xml:space="preserve"> sempre </w:t>
      </w:r>
      <w:r w:rsidR="00DB360C" w:rsidRPr="00DB360C">
        <w:rPr>
          <w:b/>
        </w:rPr>
        <w:t xml:space="preserve"> riguardato più i processi produttivi che non i prodotti.</w:t>
      </w:r>
    </w:p>
    <w:p w14:paraId="0B8FA2D9" w14:textId="77777777" w:rsidR="00FA1A8D" w:rsidRPr="00DB360C" w:rsidRDefault="00BD410A" w:rsidP="00584B49">
      <w:pPr>
        <w:jc w:val="both"/>
        <w:rPr>
          <w:b/>
        </w:rPr>
      </w:pPr>
      <w:r w:rsidRPr="00DB360C">
        <w:rPr>
          <w:b/>
        </w:rPr>
        <w:t>Con</w:t>
      </w:r>
      <w:r w:rsidR="00DB360C" w:rsidRPr="00DB360C">
        <w:rPr>
          <w:b/>
        </w:rPr>
        <w:t>frontando tra loro i tre periodi</w:t>
      </w:r>
      <w:r w:rsidRPr="00DB360C">
        <w:rPr>
          <w:b/>
        </w:rPr>
        <w:t>, la dinamica degli investimenti volti a ridurre l’impatto ambientale ricalca l’anda</w:t>
      </w:r>
      <w:r w:rsidR="00FE755C">
        <w:rPr>
          <w:b/>
        </w:rPr>
        <w:t>mento di una parabola a rovesciata</w:t>
      </w:r>
      <w:r w:rsidRPr="00DB360C">
        <w:rPr>
          <w:b/>
        </w:rPr>
        <w:t>:  rispetto alla fase pre Covid gli investimenti Green</w:t>
      </w:r>
      <w:r w:rsidR="00FA1A8D" w:rsidRPr="00DB360C">
        <w:rPr>
          <w:b/>
        </w:rPr>
        <w:t xml:space="preserve">,  riguardanti sia  i processi produttivi che i prodotti , </w:t>
      </w:r>
      <w:r w:rsidRPr="00DB360C">
        <w:rPr>
          <w:b/>
        </w:rPr>
        <w:t xml:space="preserve">calano sensibilmente </w:t>
      </w:r>
      <w:r w:rsidR="00FE755C">
        <w:rPr>
          <w:b/>
        </w:rPr>
        <w:t xml:space="preserve">durante il Covid, </w:t>
      </w:r>
      <w:r w:rsidRPr="00DB360C">
        <w:rPr>
          <w:b/>
        </w:rPr>
        <w:t xml:space="preserve">per poi </w:t>
      </w:r>
      <w:r w:rsidR="00FA1A8D" w:rsidRPr="00DB360C">
        <w:rPr>
          <w:b/>
        </w:rPr>
        <w:t xml:space="preserve"> tornare a salire nel periodo Post Covid</w:t>
      </w:r>
      <w:r w:rsidRPr="00DB360C">
        <w:rPr>
          <w:b/>
        </w:rPr>
        <w:t xml:space="preserve"> </w:t>
      </w:r>
      <w:r w:rsidR="00FA1A8D" w:rsidRPr="00DB360C">
        <w:rPr>
          <w:b/>
        </w:rPr>
        <w:t xml:space="preserve"> e assestarsi su livelli superiori a quelli del periodo pre Pandemia. </w:t>
      </w:r>
    </w:p>
    <w:p w14:paraId="2C4A7CFA" w14:textId="2AC9D647" w:rsidR="008550A3" w:rsidRDefault="00FA1A8D" w:rsidP="00584B49">
      <w:pPr>
        <w:jc w:val="both"/>
      </w:pPr>
      <w:r>
        <w:t xml:space="preserve">Questa stessa dinamica ha caratterizzato anche gli investimenti Green delle imprese industriali e di servizio.  Il </w:t>
      </w:r>
      <w:r w:rsidRPr="00163BAC">
        <w:rPr>
          <w:b/>
        </w:rPr>
        <w:t>confronto con gli altri due settori</w:t>
      </w:r>
      <w:r>
        <w:t xml:space="preserve"> mostra  una propensione delle imprese agricole </w:t>
      </w:r>
      <w:r w:rsidR="00960D82">
        <w:t>a</w:t>
      </w:r>
      <w:r w:rsidR="00163BAC">
        <w:t xml:space="preserve">gli </w:t>
      </w:r>
      <w:r w:rsidR="00960D82">
        <w:t xml:space="preserve"> investimenti </w:t>
      </w:r>
      <w:r w:rsidR="00163BAC">
        <w:t xml:space="preserve">per la sostenibilità ambientale </w:t>
      </w:r>
      <w:r w:rsidR="00960D82" w:rsidRPr="00163BAC">
        <w:t>in linea con quella delle imprese manifatturiere</w:t>
      </w:r>
      <w:r w:rsidR="00960D82">
        <w:t xml:space="preserve"> (le percentuali sono simili in tutti e tre i periodi) e </w:t>
      </w:r>
      <w:r w:rsidR="00960D82" w:rsidRPr="00163BAC">
        <w:t>superiore a quella  delle imprese terziarie.</w:t>
      </w:r>
    </w:p>
    <w:p w14:paraId="40A954DE" w14:textId="77777777" w:rsidR="00EB0339" w:rsidRDefault="00EB0339" w:rsidP="00584B49">
      <w:pPr>
        <w:jc w:val="both"/>
      </w:pPr>
      <w:r>
        <w:t xml:space="preserve">Una batteria di domande del questionario </w:t>
      </w:r>
      <w:r w:rsidR="007F6577">
        <w:t xml:space="preserve">è stata dedicata ad indagare </w:t>
      </w:r>
      <w:r>
        <w:t>quali</w:t>
      </w:r>
      <w:r w:rsidR="007F6577">
        <w:t xml:space="preserve"> sono stati gli e</w:t>
      </w:r>
      <w:r w:rsidR="007F6577" w:rsidRPr="007F6577">
        <w:rPr>
          <w:b/>
        </w:rPr>
        <w:t>ffetti degli</w:t>
      </w:r>
      <w:r w:rsidRPr="007F6577">
        <w:rPr>
          <w:b/>
        </w:rPr>
        <w:t xml:space="preserve"> investiment</w:t>
      </w:r>
      <w:r w:rsidR="007F6577" w:rsidRPr="007F6577">
        <w:rPr>
          <w:b/>
        </w:rPr>
        <w:t>i Green</w:t>
      </w:r>
      <w:r w:rsidR="007F6577">
        <w:t xml:space="preserve"> realizzati</w:t>
      </w:r>
      <w:r>
        <w:t xml:space="preserve"> </w:t>
      </w:r>
      <w:r w:rsidR="00420D66">
        <w:t>n</w:t>
      </w:r>
      <w:r w:rsidR="006929A4">
        <w:t>el quinquennio 2017-2021, da questa</w:t>
      </w:r>
      <w:r w:rsidR="00420D66">
        <w:t xml:space="preserve"> possiamo ricavare la classifica che segue</w:t>
      </w:r>
      <w:r w:rsidR="007F6577">
        <w:t>:</w:t>
      </w:r>
    </w:p>
    <w:p w14:paraId="3B299E84" w14:textId="77777777" w:rsidR="007F6577" w:rsidRDefault="007F6577" w:rsidP="007F6577">
      <w:pPr>
        <w:pStyle w:val="Paragrafoelenco"/>
        <w:numPr>
          <w:ilvl w:val="0"/>
          <w:numId w:val="6"/>
        </w:numPr>
        <w:jc w:val="both"/>
      </w:pPr>
      <w:r>
        <w:t xml:space="preserve">al primo posto troviamo la </w:t>
      </w:r>
      <w:r w:rsidRPr="007F6577">
        <w:rPr>
          <w:b/>
        </w:rPr>
        <w:t>riduzione dei rifiuti o degli scarti di produzione</w:t>
      </w:r>
      <w:r>
        <w:t xml:space="preserve"> con il 63% di risposte positive (?)</w:t>
      </w:r>
    </w:p>
    <w:p w14:paraId="46B30DF0" w14:textId="77777777" w:rsidR="007F6577" w:rsidRDefault="007F6577" w:rsidP="007F6577">
      <w:pPr>
        <w:pStyle w:val="Paragrafoelenco"/>
        <w:numPr>
          <w:ilvl w:val="0"/>
          <w:numId w:val="6"/>
        </w:numPr>
        <w:jc w:val="both"/>
      </w:pPr>
      <w:r>
        <w:t xml:space="preserve">segue </w:t>
      </w:r>
      <w:r w:rsidRPr="00D30769">
        <w:rPr>
          <w:b/>
        </w:rPr>
        <w:t>l’utilizzo di energie rinnovabili</w:t>
      </w:r>
      <w:r w:rsidR="00D30769">
        <w:t xml:space="preserve"> (47%), con percentuali molto elevate  nelle grandi imprese (59%) e nel Settentrione d’ Italia (Nord-ovest 56% e Nord-est 59%) e molto inferiori alla media per le imprese della Silvicoltura e della Pesca </w:t>
      </w:r>
    </w:p>
    <w:p w14:paraId="5E2A7DD0" w14:textId="77777777" w:rsidR="00D30769" w:rsidRDefault="00D30769" w:rsidP="007F6577">
      <w:pPr>
        <w:pStyle w:val="Paragrafoelenco"/>
        <w:numPr>
          <w:ilvl w:val="0"/>
          <w:numId w:val="6"/>
        </w:numPr>
        <w:jc w:val="both"/>
      </w:pPr>
      <w:r>
        <w:t xml:space="preserve">al terzo posto si colloca il </w:t>
      </w:r>
      <w:r w:rsidRPr="00F9284A">
        <w:rPr>
          <w:b/>
        </w:rPr>
        <w:t>risparmio idrico</w:t>
      </w:r>
      <w:r>
        <w:t>, che ha interessato il 39% delle imprese intervistate</w:t>
      </w:r>
      <w:r w:rsidR="00F9284A">
        <w:t xml:space="preserve">, con punte del 47% per le imprese sopra i 50 addetti e per quelle localizzate nel Nord-ovest (49%). Questo dato conferma la sempre maggiore </w:t>
      </w:r>
      <w:r w:rsidR="00F9284A" w:rsidRPr="00420D66">
        <w:t xml:space="preserve">diffusione dell’ </w:t>
      </w:r>
      <w:r w:rsidR="00F9284A" w:rsidRPr="00760779">
        <w:rPr>
          <w:b/>
        </w:rPr>
        <w:t>agricoltura di precisione</w:t>
      </w:r>
      <w:r w:rsidR="00F9284A">
        <w:t>, che è finalizzata alla riduzione di tutti gli input produttivi, ma in particolare dell’</w:t>
      </w:r>
      <w:r w:rsidR="00420D66">
        <w:t>acqua di irrigazione</w:t>
      </w:r>
    </w:p>
    <w:p w14:paraId="1F29754C" w14:textId="77777777" w:rsidR="00F9284A" w:rsidRDefault="00420D66" w:rsidP="007F6577">
      <w:pPr>
        <w:pStyle w:val="Paragrafoelenco"/>
        <w:numPr>
          <w:ilvl w:val="0"/>
          <w:numId w:val="6"/>
        </w:numPr>
        <w:jc w:val="both"/>
      </w:pPr>
      <w:r>
        <w:t xml:space="preserve">la riduzione di </w:t>
      </w:r>
      <w:r w:rsidRPr="00420D66">
        <w:rPr>
          <w:b/>
        </w:rPr>
        <w:t>consumi energetici</w:t>
      </w:r>
      <w:r>
        <w:t xml:space="preserve">, intesa come riduzione dell’intensità energetica dei processi produttivi, </w:t>
      </w:r>
      <w:r w:rsidR="008550A3">
        <w:t xml:space="preserve"> </w:t>
      </w:r>
      <w:r>
        <w:t xml:space="preserve">totalizza il 36% di </w:t>
      </w:r>
      <w:r w:rsidR="008550A3">
        <w:t>segnalazioni. Questo effetto ha interessato soprattutto le aziende zootecniche (46%) le imprese localizzate nel Nord-ovest (49%)</w:t>
      </w:r>
      <w:r w:rsidR="00D71C21">
        <w:t xml:space="preserve">, mentre non </w:t>
      </w:r>
      <w:r w:rsidR="00FD1B17">
        <w:t xml:space="preserve">si </w:t>
      </w:r>
      <w:r w:rsidR="008550A3">
        <w:t>registrano  significative differenziazioni in base alla dimensione aziendale</w:t>
      </w:r>
    </w:p>
    <w:p w14:paraId="1485AB32" w14:textId="77777777" w:rsidR="00D71C21" w:rsidRDefault="006929A4" w:rsidP="006929A4">
      <w:pPr>
        <w:pStyle w:val="Paragrafoelenco"/>
        <w:numPr>
          <w:ilvl w:val="0"/>
          <w:numId w:val="6"/>
        </w:numPr>
        <w:jc w:val="both"/>
      </w:pPr>
      <w:r>
        <w:t>a</w:t>
      </w:r>
      <w:r w:rsidR="00D71C21">
        <w:t xml:space="preserve">l quinto posto si posiziona il </w:t>
      </w:r>
      <w:r w:rsidR="00D71C21" w:rsidRPr="00D71C21">
        <w:rPr>
          <w:b/>
        </w:rPr>
        <w:t>riuso dei rifiuti e degli scarti di produzione</w:t>
      </w:r>
      <w:r w:rsidR="00D71C21">
        <w:t>, che viene indicato come effetto degli</w:t>
      </w:r>
      <w:r w:rsidR="00760779">
        <w:t xml:space="preserve"> investimenti G</w:t>
      </w:r>
      <w:r w:rsidR="00D71C21">
        <w:t>reen dal</w:t>
      </w:r>
      <w:r>
        <w:t xml:space="preserve"> 27% delle imprese agricole; a questo proposito non si registrano divers</w:t>
      </w:r>
      <w:r w:rsidR="00B92367">
        <w:t>ità significative tra le</w:t>
      </w:r>
      <w:r>
        <w:t xml:space="preserve"> tipologie di imprese agricole</w:t>
      </w:r>
    </w:p>
    <w:p w14:paraId="670554AF" w14:textId="77777777" w:rsidR="00B92367" w:rsidRDefault="001617A6" w:rsidP="006929A4">
      <w:pPr>
        <w:pStyle w:val="Paragrafoelenco"/>
        <w:numPr>
          <w:ilvl w:val="0"/>
          <w:numId w:val="6"/>
        </w:numPr>
        <w:jc w:val="both"/>
      </w:pPr>
      <w:r>
        <w:t>segue</w:t>
      </w:r>
      <w:r w:rsidR="00760779">
        <w:t xml:space="preserve">, con il 23% di segnalazioni, </w:t>
      </w:r>
      <w:r w:rsidR="00760779" w:rsidRPr="00760779">
        <w:rPr>
          <w:b/>
        </w:rPr>
        <w:t>l’efficienza energetica degli edifici aziendali</w:t>
      </w:r>
      <w:r w:rsidR="00B92367">
        <w:t>, anche qui  con percentuali non molto differenziate a secondo della tipologia di impresa</w:t>
      </w:r>
    </w:p>
    <w:p w14:paraId="528EAE44" w14:textId="492BAFDE" w:rsidR="00B92367" w:rsidRDefault="00B92367" w:rsidP="00B92367">
      <w:pPr>
        <w:jc w:val="both"/>
      </w:pPr>
      <w:r>
        <w:t>Tutti gli altri effetti degli investimenti in sost</w:t>
      </w:r>
      <w:r w:rsidR="00627DD1">
        <w:t>enibilità economica non vanno oltre  la soglia del 20</w:t>
      </w:r>
      <w:r>
        <w:t>%</w:t>
      </w:r>
      <w:r w:rsidR="00CC3E9C">
        <w:t xml:space="preserve">; tra questi ricordiamo l’allungamento dei </w:t>
      </w:r>
      <w:r w:rsidR="00627DD1">
        <w:t>t</w:t>
      </w:r>
      <w:r w:rsidR="00CC3E9C">
        <w:t>empi di vita del prodotto (2</w:t>
      </w:r>
      <w:r w:rsidR="002872D5">
        <w:t>1</w:t>
      </w:r>
      <w:r w:rsidR="00CC3E9C">
        <w:t>% di segnalazioni), la riduzione dell’impiego di sostanze chimiche grazie alla conversione al biologico (20%), la riduzione delle emissioni di CO2 (20%), l’au</w:t>
      </w:r>
      <w:r w:rsidR="00627DD1">
        <w:t>m</w:t>
      </w:r>
      <w:r w:rsidR="00CC3E9C">
        <w:t>ento dell’utilizzo di materie prime riciclate e/o rinnovabili (18%) e la riduzione dell’impiego di sostanze chimiche grazie all’adozione di un disciplinare di agricoltura integrata</w:t>
      </w:r>
      <w:r w:rsidR="00627DD1">
        <w:t xml:space="preserve"> (15%)</w:t>
      </w:r>
      <w:r w:rsidR="00CC3E9C">
        <w:t>.</w:t>
      </w:r>
      <w:r w:rsidR="00627DD1">
        <w:t xml:space="preserve"> </w:t>
      </w:r>
      <w:r w:rsidR="00476DC5">
        <w:t xml:space="preserve"> </w:t>
      </w:r>
    </w:p>
    <w:p w14:paraId="2C06AE7E" w14:textId="1760DF42" w:rsidR="009F0D24" w:rsidRDefault="009F0D24" w:rsidP="00B92367">
      <w:pPr>
        <w:jc w:val="both"/>
      </w:pPr>
    </w:p>
    <w:p w14:paraId="7A61A563" w14:textId="0F12D2EF" w:rsidR="009F0D24" w:rsidRDefault="009F0D24" w:rsidP="00B92367">
      <w:pPr>
        <w:jc w:val="both"/>
      </w:pPr>
    </w:p>
    <w:p w14:paraId="6032D9FD" w14:textId="19E19D79" w:rsidR="009F0D24" w:rsidRDefault="009F0D24" w:rsidP="00B92367">
      <w:pPr>
        <w:jc w:val="both"/>
      </w:pPr>
    </w:p>
    <w:p w14:paraId="7F62E745" w14:textId="104F4ABD" w:rsidR="009F0D24" w:rsidRDefault="009F0D24" w:rsidP="00B92367">
      <w:pPr>
        <w:jc w:val="both"/>
      </w:pPr>
    </w:p>
    <w:p w14:paraId="4CF2F420" w14:textId="1F8C43B2" w:rsidR="009F0D24" w:rsidRDefault="009F0D24" w:rsidP="00B92367">
      <w:pPr>
        <w:jc w:val="both"/>
      </w:pPr>
    </w:p>
    <w:p w14:paraId="630DD5DC" w14:textId="24D23CBA" w:rsidR="009F0D24" w:rsidRDefault="009F0D24" w:rsidP="00B92367">
      <w:pPr>
        <w:jc w:val="both"/>
      </w:pPr>
    </w:p>
    <w:p w14:paraId="30708350" w14:textId="676A626F" w:rsidR="009F0D24" w:rsidRDefault="009F0D24" w:rsidP="00B92367">
      <w:pPr>
        <w:jc w:val="both"/>
      </w:pPr>
    </w:p>
    <w:p w14:paraId="774F3C60" w14:textId="35CC18F9" w:rsidR="009F0D24" w:rsidRDefault="009F0D24" w:rsidP="00B92367">
      <w:pPr>
        <w:jc w:val="both"/>
      </w:pPr>
    </w:p>
    <w:p w14:paraId="71E6EA16" w14:textId="42AF41D5" w:rsidR="009F0D24" w:rsidRDefault="009F0D24" w:rsidP="00B92367">
      <w:pPr>
        <w:jc w:val="both"/>
      </w:pPr>
    </w:p>
    <w:p w14:paraId="587D5B53" w14:textId="5C255BEA" w:rsidR="009F0D24" w:rsidRDefault="009F0D24" w:rsidP="00B92367">
      <w:pPr>
        <w:jc w:val="both"/>
      </w:pPr>
    </w:p>
    <w:p w14:paraId="2043F4E7" w14:textId="6A17140A" w:rsidR="009F0D24" w:rsidRDefault="009F0D24" w:rsidP="00B92367">
      <w:pPr>
        <w:jc w:val="both"/>
      </w:pPr>
    </w:p>
    <w:p w14:paraId="1268A079" w14:textId="52E0F774" w:rsidR="009F0D24" w:rsidRDefault="009F0D24" w:rsidP="00B92367">
      <w:pPr>
        <w:jc w:val="both"/>
      </w:pPr>
    </w:p>
    <w:p w14:paraId="1B821182" w14:textId="461CFA7B" w:rsidR="009F0D24" w:rsidRDefault="009F0D24" w:rsidP="00B92367">
      <w:pPr>
        <w:jc w:val="both"/>
      </w:pPr>
    </w:p>
    <w:p w14:paraId="60C223F6" w14:textId="12EA880F" w:rsidR="001911C4" w:rsidRDefault="001911C4" w:rsidP="00B92367">
      <w:pPr>
        <w:jc w:val="both"/>
      </w:pPr>
    </w:p>
    <w:p w14:paraId="4A726C4F" w14:textId="22B1E9C5" w:rsidR="001911C4" w:rsidRDefault="001911C4" w:rsidP="00B92367">
      <w:pPr>
        <w:jc w:val="both"/>
      </w:pPr>
    </w:p>
    <w:p w14:paraId="1E61E098" w14:textId="2BF1D946" w:rsidR="001911C4" w:rsidRDefault="001911C4" w:rsidP="00B92367">
      <w:pPr>
        <w:jc w:val="both"/>
      </w:pPr>
    </w:p>
    <w:p w14:paraId="782912CA" w14:textId="5AC2D0B5" w:rsidR="001911C4" w:rsidRDefault="001911C4" w:rsidP="00B92367">
      <w:pPr>
        <w:jc w:val="both"/>
      </w:pPr>
    </w:p>
    <w:p w14:paraId="7ECD9D5F" w14:textId="77777777" w:rsidR="001911C4" w:rsidRDefault="001911C4" w:rsidP="00B92367">
      <w:pPr>
        <w:jc w:val="both"/>
      </w:pPr>
    </w:p>
    <w:p w14:paraId="0BDA343F" w14:textId="77777777" w:rsidR="009F0D24" w:rsidRDefault="009F0D24" w:rsidP="00B92367">
      <w:pPr>
        <w:jc w:val="both"/>
      </w:pPr>
    </w:p>
    <w:p w14:paraId="7F0CD5DB" w14:textId="50085888" w:rsidR="002872D5" w:rsidRPr="002872D5" w:rsidRDefault="002872D5" w:rsidP="00B92367">
      <w:pPr>
        <w:jc w:val="both"/>
        <w:rPr>
          <w:b/>
          <w:bCs/>
          <w:i/>
          <w:iCs/>
        </w:rPr>
      </w:pPr>
      <w:r w:rsidRPr="002872D5">
        <w:rPr>
          <w:b/>
          <w:bCs/>
          <w:i/>
          <w:iCs/>
        </w:rPr>
        <w:t>Imprese che hanno riscontrato effetti negli investimenti green nel quadriennio 2017-21 (valori %)</w:t>
      </w:r>
    </w:p>
    <w:p w14:paraId="5AF7D4F1" w14:textId="34ED0DDA" w:rsidR="002872D5" w:rsidRDefault="002872D5" w:rsidP="00B92367">
      <w:pPr>
        <w:jc w:val="both"/>
      </w:pPr>
      <w:r>
        <w:rPr>
          <w:noProof/>
        </w:rPr>
        <w:drawing>
          <wp:inline distT="0" distB="0" distL="0" distR="0" wp14:anchorId="5B2AF6B4" wp14:editId="1A475127">
            <wp:extent cx="5936673" cy="5140036"/>
            <wp:effectExtent l="0" t="0" r="6985" b="3810"/>
            <wp:docPr id="8" name="Grafico 8">
              <a:extLst xmlns:a="http://schemas.openxmlformats.org/drawingml/2006/main">
                <a:ext uri="{FF2B5EF4-FFF2-40B4-BE49-F238E27FC236}">
                  <a16:creationId xmlns:a16="http://schemas.microsoft.com/office/drawing/2014/main" id="{6F565159-AD89-209C-1EED-30F18CA5D6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F5B27F0" w14:textId="2CA36D2A" w:rsidR="002872D5" w:rsidRDefault="002872D5" w:rsidP="00B92367">
      <w:pPr>
        <w:jc w:val="both"/>
        <w:rPr>
          <w:i/>
          <w:iCs/>
          <w:sz w:val="20"/>
          <w:szCs w:val="20"/>
        </w:rPr>
      </w:pPr>
      <w:r w:rsidRPr="007E72A0">
        <w:rPr>
          <w:i/>
          <w:iCs/>
          <w:sz w:val="20"/>
          <w:szCs w:val="20"/>
        </w:rPr>
        <w:t>Fonte: Indagine Centro studi Guglielmo Tagliacarne</w:t>
      </w:r>
      <w:r w:rsidR="009F0D24">
        <w:rPr>
          <w:i/>
          <w:iCs/>
          <w:sz w:val="20"/>
          <w:szCs w:val="20"/>
        </w:rPr>
        <w:t>-Unioncamere</w:t>
      </w:r>
      <w:r w:rsidRPr="007E72A0">
        <w:rPr>
          <w:i/>
          <w:iCs/>
          <w:sz w:val="20"/>
          <w:szCs w:val="20"/>
        </w:rPr>
        <w:t xml:space="preserve"> 2022</w:t>
      </w:r>
      <w:r>
        <w:t xml:space="preserve"> </w:t>
      </w:r>
    </w:p>
    <w:p w14:paraId="149FA8BF" w14:textId="794C5936" w:rsidR="009F0D24" w:rsidRPr="009F0D24" w:rsidRDefault="009F0D24" w:rsidP="00B92367">
      <w:pPr>
        <w:jc w:val="both"/>
        <w:rPr>
          <w:i/>
          <w:iCs/>
          <w:sz w:val="20"/>
          <w:szCs w:val="20"/>
        </w:rPr>
      </w:pPr>
      <w:r>
        <w:rPr>
          <w:i/>
          <w:iCs/>
          <w:sz w:val="20"/>
          <w:szCs w:val="20"/>
        </w:rPr>
        <w:t>*Domanda a risposta multipla</w:t>
      </w:r>
    </w:p>
    <w:p w14:paraId="598CD9C0" w14:textId="77777777" w:rsidR="00476DC5" w:rsidRPr="00A41FB8" w:rsidRDefault="003D0275" w:rsidP="00B92367">
      <w:pPr>
        <w:jc w:val="both"/>
      </w:pPr>
      <w:r w:rsidRPr="00A41FB8">
        <w:t xml:space="preserve">Per quanto riguarda la localizzazione dell’azienda, </w:t>
      </w:r>
      <w:r w:rsidR="00476DC5" w:rsidRPr="00A41FB8">
        <w:t>sono le imprese agricole del Nord-ovest</w:t>
      </w:r>
      <w:r w:rsidRPr="00A41FB8">
        <w:t xml:space="preserve"> </w:t>
      </w:r>
      <w:r w:rsidR="00476DC5" w:rsidRPr="00A41FB8">
        <w:t xml:space="preserve"> quelle che fanno </w:t>
      </w:r>
      <w:r w:rsidRPr="00A41FB8">
        <w:t>registrare</w:t>
      </w:r>
      <w:r w:rsidR="00476DC5" w:rsidRPr="00A41FB8">
        <w:t xml:space="preserve"> le percentuali più alte</w:t>
      </w:r>
      <w:r w:rsidRPr="00A41FB8">
        <w:t xml:space="preserve"> in tutti gli item previsti dalla domanda sui diversi effetti degli investimenti Green, con la sola eccezione della riduzione dei rifiuti e degli scarti di produzione. Con riferimento alla dimensione aziendale, </w:t>
      </w:r>
      <w:r w:rsidR="00F368E4" w:rsidRPr="00A41FB8">
        <w:t xml:space="preserve"> sono le imprese di maggiori dimensioni (sia quelle  con più di 50 addetti  che quelle tra i 9 e i 10 addetti)  a mostrare le percentuali più elevate, anche qui con una </w:t>
      </w:r>
      <w:r w:rsidR="00734E25" w:rsidRPr="00A41FB8">
        <w:t xml:space="preserve">sola </w:t>
      </w:r>
      <w:r w:rsidR="00F368E4" w:rsidRPr="00A41FB8">
        <w:t xml:space="preserve">eccezione:  la riduzione dei consumi energetici.  In merito all’attività svolta, </w:t>
      </w:r>
      <w:r w:rsidR="00734E25" w:rsidRPr="00A41FB8">
        <w:t xml:space="preserve">sono </w:t>
      </w:r>
      <w:r w:rsidR="00F368E4" w:rsidRPr="00A41FB8">
        <w:t xml:space="preserve">le </w:t>
      </w:r>
      <w:r w:rsidR="00734E25" w:rsidRPr="00A41FB8">
        <w:t xml:space="preserve">imprese del settore agricoltura  a far registrare percentuali superiori alla media , mentre quelle della Silvicoltura e della Pesca si collocano </w:t>
      </w:r>
      <w:r w:rsidR="00045111" w:rsidRPr="00A41FB8">
        <w:t xml:space="preserve">sempre </w:t>
      </w:r>
      <w:r w:rsidR="00734E25" w:rsidRPr="00A41FB8">
        <w:t>al di sotto</w:t>
      </w:r>
      <w:r w:rsidR="00045111" w:rsidRPr="00A41FB8">
        <w:t xml:space="preserve">, tranne che per l’allungamento della vita del prodotto, dove le imprese della Pesca  superano quelle del settore agricoltura. In termini di genere , le imprese femminili (cioè con proprietà esclusiva o a maggioranza </w:t>
      </w:r>
      <w:r w:rsidR="00690495" w:rsidRPr="00A41FB8">
        <w:t>femminile) risultano avere avuto effetti  positivi dagli investimenti in tutti i casi molto superiori alla  media,  al contrario, in termini di età dell’imprenditore,  sono le imprese condotte da giovani imprenditori  a fare registrare percentuali sempre più basse della media, se si eccettua l’utilizzo di energie rinnovabili come il fotovoltaico, il solare e l’eolico.</w:t>
      </w:r>
    </w:p>
    <w:p w14:paraId="0B8A8E85" w14:textId="77777777" w:rsidR="005A5F9C" w:rsidRPr="00B02910" w:rsidRDefault="00A41FB8" w:rsidP="00B92367">
      <w:pPr>
        <w:jc w:val="both"/>
        <w:rPr>
          <w:b/>
        </w:rPr>
      </w:pPr>
      <w:r w:rsidRPr="00B02910">
        <w:rPr>
          <w:b/>
        </w:rPr>
        <w:t>Diver</w:t>
      </w:r>
      <w:r w:rsidR="005D32F7" w:rsidRPr="00B02910">
        <w:rPr>
          <w:b/>
        </w:rPr>
        <w:t>s</w:t>
      </w:r>
      <w:r w:rsidRPr="00B02910">
        <w:rPr>
          <w:b/>
        </w:rPr>
        <w:t>amente da quello che ci poteva aspettare,</w:t>
      </w:r>
      <w:r w:rsidRPr="00B02910">
        <w:rPr>
          <w:b/>
          <w:i/>
        </w:rPr>
        <w:t xml:space="preserve"> </w:t>
      </w:r>
      <w:r w:rsidRPr="00B02910">
        <w:rPr>
          <w:b/>
        </w:rPr>
        <w:t xml:space="preserve"> l</w:t>
      </w:r>
      <w:r w:rsidR="005A5F9C" w:rsidRPr="00B02910">
        <w:rPr>
          <w:b/>
        </w:rPr>
        <w:t xml:space="preserve">a stragrande maggioranza delle imprese intervistate </w:t>
      </w:r>
      <w:r w:rsidR="00DF5ACE" w:rsidRPr="00B02910">
        <w:rPr>
          <w:b/>
        </w:rPr>
        <w:t xml:space="preserve">che non li hanno effettuati </w:t>
      </w:r>
      <w:r w:rsidR="005A5F9C" w:rsidRPr="00B02910">
        <w:rPr>
          <w:b/>
        </w:rPr>
        <w:t>(86%)  ritiene che non vi sia nessun tipo di difficoltà all’introduzione nella propria azienda  di investimenti nella sostenibilità aziendale</w:t>
      </w:r>
      <w:r w:rsidR="00DB360C" w:rsidRPr="00B02910">
        <w:rPr>
          <w:b/>
        </w:rPr>
        <w:t>;</w:t>
      </w:r>
      <w:r w:rsidR="008B0EB5" w:rsidRPr="00B02910">
        <w:rPr>
          <w:b/>
        </w:rPr>
        <w:t xml:space="preserve"> solo per le imprese giovanili la percentuale risulta significativamente inferiore alla media (64%)</w:t>
      </w:r>
      <w:r w:rsidR="005A5F9C" w:rsidRPr="00B02910">
        <w:rPr>
          <w:b/>
        </w:rPr>
        <w:t xml:space="preserve"> </w:t>
      </w:r>
      <w:r w:rsidR="008B0EB5" w:rsidRPr="00B02910">
        <w:rPr>
          <w:b/>
        </w:rPr>
        <w:t xml:space="preserve"> e alcune tipologie di difficoltà sono segnalate con percentuali significative: la difficoltà a trovare sul mercato le professionalità necessarie (12%), </w:t>
      </w:r>
      <w:r w:rsidR="00A66CC6" w:rsidRPr="00B02910">
        <w:rPr>
          <w:b/>
        </w:rPr>
        <w:t xml:space="preserve"> i  </w:t>
      </w:r>
      <w:r w:rsidR="008B0EB5" w:rsidRPr="00B02910">
        <w:rPr>
          <w:b/>
        </w:rPr>
        <w:t>costi di approvvigionamento delle ma</w:t>
      </w:r>
      <w:r w:rsidR="00216CDA" w:rsidRPr="00B02910">
        <w:rPr>
          <w:b/>
        </w:rPr>
        <w:t>terie prime green troppo alti</w:t>
      </w:r>
      <w:r w:rsidR="00A66CC6" w:rsidRPr="00B02910">
        <w:rPr>
          <w:b/>
        </w:rPr>
        <w:t xml:space="preserve"> (10</w:t>
      </w:r>
      <w:r w:rsidR="008B0EB5" w:rsidRPr="00B02910">
        <w:rPr>
          <w:b/>
        </w:rPr>
        <w:t>%)</w:t>
      </w:r>
      <w:r w:rsidR="00A66CC6" w:rsidRPr="00B02910">
        <w:rPr>
          <w:b/>
        </w:rPr>
        <w:t>,   le  risorse economiche  insufficienti (8%) e la poca conoscenza delle agevolazioni pubbliche (7%).</w:t>
      </w:r>
      <w:r w:rsidR="00A66CC6">
        <w:t xml:space="preserve">  </w:t>
      </w:r>
      <w:r w:rsidR="00DF5ACE">
        <w:t xml:space="preserve">Anche le </w:t>
      </w:r>
      <w:r w:rsidR="00DF5ACE" w:rsidRPr="00DF5ACE">
        <w:rPr>
          <w:b/>
        </w:rPr>
        <w:t>imprese femminili</w:t>
      </w:r>
      <w:r w:rsidR="00DF5ACE">
        <w:t>, pur affermando nell’87% dei casi di non avere incontrato difficoltà , segnalano due tipi di ostacolo all’introduzione di investimenti Green in misura superiore alla media: la mancanza di competenze interne (9%) e i costi di appro</w:t>
      </w:r>
      <w:r w:rsidR="00B02910">
        <w:t>vvigionamento delle materie gree</w:t>
      </w:r>
      <w:r w:rsidR="00DF5ACE">
        <w:t xml:space="preserve">n troppo alti (5%). </w:t>
      </w:r>
      <w:r w:rsidR="00A66CC6">
        <w:t>Per tutte le altre imprese agricole le difficoltà segnalate non superano il 3%.</w:t>
      </w:r>
    </w:p>
    <w:p w14:paraId="5D8A29C7" w14:textId="77777777" w:rsidR="00D309ED" w:rsidRDefault="00D309ED" w:rsidP="00B92367">
      <w:pPr>
        <w:jc w:val="both"/>
      </w:pPr>
    </w:p>
    <w:p w14:paraId="1871B09B" w14:textId="77777777" w:rsidR="00F639B9" w:rsidRDefault="00F639B9" w:rsidP="00B92367">
      <w:pPr>
        <w:jc w:val="both"/>
      </w:pPr>
    </w:p>
    <w:p w14:paraId="5C90E0B5" w14:textId="77777777" w:rsidR="00A66CC6" w:rsidRDefault="00A66CC6" w:rsidP="00B92367">
      <w:pPr>
        <w:jc w:val="both"/>
        <w:rPr>
          <w:b/>
          <w:sz w:val="28"/>
          <w:szCs w:val="28"/>
          <w:u w:val="single"/>
        </w:rPr>
      </w:pPr>
      <w:r>
        <w:t xml:space="preserve"> </w:t>
      </w:r>
      <w:r w:rsidRPr="00574006">
        <w:rPr>
          <w:b/>
          <w:sz w:val="28"/>
          <w:szCs w:val="28"/>
          <w:u w:val="single"/>
        </w:rPr>
        <w:t>INVESTIMENTI</w:t>
      </w:r>
      <w:r w:rsidR="00D454A8" w:rsidRPr="00574006">
        <w:rPr>
          <w:b/>
          <w:sz w:val="28"/>
          <w:szCs w:val="28"/>
          <w:u w:val="single"/>
        </w:rPr>
        <w:t xml:space="preserve"> </w:t>
      </w:r>
      <w:r w:rsidR="00574006" w:rsidRPr="00574006">
        <w:rPr>
          <w:b/>
          <w:sz w:val="28"/>
          <w:szCs w:val="28"/>
          <w:u w:val="single"/>
        </w:rPr>
        <w:t>E INNOVAZIONE</w:t>
      </w:r>
    </w:p>
    <w:p w14:paraId="3D0954A6" w14:textId="77777777" w:rsidR="00574006" w:rsidRPr="00574006" w:rsidRDefault="00574006" w:rsidP="00B92367">
      <w:pPr>
        <w:jc w:val="both"/>
        <w:rPr>
          <w:b/>
          <w:sz w:val="28"/>
          <w:szCs w:val="28"/>
          <w:u w:val="single"/>
        </w:rPr>
      </w:pPr>
    </w:p>
    <w:p w14:paraId="2A01366E" w14:textId="587027E2" w:rsidR="0076543B" w:rsidRDefault="00B8461C" w:rsidP="00B92367">
      <w:pPr>
        <w:jc w:val="both"/>
      </w:pPr>
      <w:r w:rsidRPr="00942F4E">
        <w:rPr>
          <w:b/>
        </w:rPr>
        <w:t>Nel triennio Pre</w:t>
      </w:r>
      <w:r w:rsidR="00C41FFA">
        <w:rPr>
          <w:b/>
        </w:rPr>
        <w:t xml:space="preserve"> </w:t>
      </w:r>
      <w:r w:rsidRPr="00942F4E">
        <w:rPr>
          <w:b/>
        </w:rPr>
        <w:t xml:space="preserve">Covid 2017-2019 </w:t>
      </w:r>
      <w:r w:rsidR="00B6712D" w:rsidRPr="00942F4E">
        <w:rPr>
          <w:b/>
        </w:rPr>
        <w:t>il 46% del</w:t>
      </w:r>
      <w:r w:rsidRPr="00942F4E">
        <w:rPr>
          <w:b/>
        </w:rPr>
        <w:t>le imprese agricole intervistate</w:t>
      </w:r>
      <w:r w:rsidR="00B6712D" w:rsidRPr="00942F4E">
        <w:rPr>
          <w:b/>
        </w:rPr>
        <w:t xml:space="preserve"> ha dichiarato di avere effettuato investimenti in Ricerca e Sviluppo, il 62%</w:t>
      </w:r>
      <w:r w:rsidR="00D309ED" w:rsidRPr="00942F4E">
        <w:rPr>
          <w:b/>
        </w:rPr>
        <w:t xml:space="preserve"> in software e data base e l’87% in capitale fisico</w:t>
      </w:r>
      <w:r w:rsidR="0076543B" w:rsidRPr="00942F4E">
        <w:rPr>
          <w:b/>
        </w:rPr>
        <w:t xml:space="preserve"> (macchinari, attrezzature, trattori, immobil</w:t>
      </w:r>
      <w:r w:rsidR="002A47B2" w:rsidRPr="00942F4E">
        <w:rPr>
          <w:b/>
        </w:rPr>
        <w:t>i</w:t>
      </w:r>
      <w:r w:rsidR="0076543B" w:rsidRPr="00942F4E">
        <w:rPr>
          <w:b/>
        </w:rPr>
        <w:t>), una percentuale</w:t>
      </w:r>
      <w:r w:rsidR="0082170F" w:rsidRPr="00942F4E">
        <w:rPr>
          <w:b/>
        </w:rPr>
        <w:t>,</w:t>
      </w:r>
      <w:r w:rsidR="0076543B" w:rsidRPr="00942F4E">
        <w:rPr>
          <w:b/>
        </w:rPr>
        <w:t xml:space="preserve"> quest’ultima</w:t>
      </w:r>
      <w:r w:rsidR="0082170F" w:rsidRPr="00942F4E">
        <w:rPr>
          <w:b/>
        </w:rPr>
        <w:t>,</w:t>
      </w:r>
      <w:r w:rsidR="0076543B" w:rsidRPr="00942F4E">
        <w:rPr>
          <w:b/>
        </w:rPr>
        <w:t xml:space="preserve"> molto elevata, grazie al massiccio utilizzo da parte delle imprese</w:t>
      </w:r>
      <w:r w:rsidR="0082170F" w:rsidRPr="00942F4E">
        <w:rPr>
          <w:b/>
        </w:rPr>
        <w:t xml:space="preserve"> </w:t>
      </w:r>
      <w:r w:rsidR="0076543B" w:rsidRPr="00942F4E">
        <w:rPr>
          <w:b/>
        </w:rPr>
        <w:t xml:space="preserve">dei contributi previsti da </w:t>
      </w:r>
      <w:r w:rsidR="005047DD" w:rsidRPr="00942F4E">
        <w:rPr>
          <w:b/>
        </w:rPr>
        <w:t>Im</w:t>
      </w:r>
      <w:r w:rsidR="00216CDA" w:rsidRPr="00942F4E">
        <w:rPr>
          <w:b/>
        </w:rPr>
        <w:t>p</w:t>
      </w:r>
      <w:r w:rsidR="005047DD" w:rsidRPr="00942F4E">
        <w:rPr>
          <w:b/>
        </w:rPr>
        <w:t>resa</w:t>
      </w:r>
      <w:r w:rsidR="0082170F" w:rsidRPr="00942F4E">
        <w:rPr>
          <w:b/>
        </w:rPr>
        <w:t xml:space="preserve"> 4.0, soprattutto per quanto riguarda l’acquisto di trattori </w:t>
      </w:r>
      <w:r w:rsidR="00942F4E" w:rsidRPr="00942F4E">
        <w:rPr>
          <w:b/>
        </w:rPr>
        <w:t xml:space="preserve">e macchinari </w:t>
      </w:r>
      <w:r w:rsidR="0082170F" w:rsidRPr="00942F4E">
        <w:rPr>
          <w:b/>
        </w:rPr>
        <w:t>per l’agricoltura di precisione</w:t>
      </w:r>
      <w:r w:rsidR="00942F4E">
        <w:t xml:space="preserve"> (…)</w:t>
      </w:r>
      <w:r w:rsidR="00D309ED">
        <w:t xml:space="preserve">. Tali percentuali </w:t>
      </w:r>
      <w:r w:rsidR="00B6712D">
        <w:t xml:space="preserve"> </w:t>
      </w:r>
      <w:r w:rsidR="00D309ED">
        <w:t xml:space="preserve">crescono per le imprese localizzate nel Centro Italia (rispettivamente 52%, 67% e 87%), per le imprese con più di 50 addetti (rispettivamente 64%, 75% e 92%) e per le imprese giovanili (56%, 69% e 87%), mentre risultano inferiori </w:t>
      </w:r>
      <w:r w:rsidR="0082170F">
        <w:t xml:space="preserve">alla media </w:t>
      </w:r>
      <w:r w:rsidR="00D309ED">
        <w:t>per le imprese della Silvicoltura</w:t>
      </w:r>
      <w:r w:rsidR="0076543B">
        <w:t xml:space="preserve"> (33%, 54%, 86%).</w:t>
      </w:r>
      <w:r w:rsidR="005339B4">
        <w:t xml:space="preserve"> Le imprese femminili mostrano percentuali superiori per gli investimenti in R&amp;S e software  (rispettivamente 51% e 69%) ma inferiori per quelli in capitale fisico</w:t>
      </w:r>
      <w:r w:rsidR="002A47B2">
        <w:t xml:space="preserve"> </w:t>
      </w:r>
      <w:r w:rsidR="00E77D15">
        <w:t>(84%).</w:t>
      </w:r>
    </w:p>
    <w:p w14:paraId="0B91D070" w14:textId="01075765" w:rsidR="00D9376D" w:rsidRDefault="0076543B" w:rsidP="00B92367">
      <w:pPr>
        <w:jc w:val="both"/>
      </w:pPr>
      <w:r w:rsidRPr="00942F4E">
        <w:rPr>
          <w:b/>
        </w:rPr>
        <w:t>Se consideriamo, invece, le previsioni per il  triennio Post Covid</w:t>
      </w:r>
      <w:r w:rsidR="005339B4" w:rsidRPr="00942F4E">
        <w:rPr>
          <w:b/>
        </w:rPr>
        <w:t xml:space="preserve"> 2022-2024</w:t>
      </w:r>
      <w:r w:rsidR="0082170F" w:rsidRPr="00942F4E">
        <w:rPr>
          <w:b/>
        </w:rPr>
        <w:t>,</w:t>
      </w:r>
      <w:r w:rsidRPr="00942F4E">
        <w:rPr>
          <w:b/>
        </w:rPr>
        <w:t xml:space="preserve"> osserviamo </w:t>
      </w:r>
      <w:r w:rsidR="0082170F" w:rsidRPr="00942F4E">
        <w:rPr>
          <w:b/>
        </w:rPr>
        <w:t>che  la percentuale delle imprese che prevedono di realizzare investimenti in R&amp;S  è uguale a quella delle imprese che hanno investito in questo campo nel triennio Pre Covid (46%), mentre</w:t>
      </w:r>
      <w:r w:rsidR="005339B4" w:rsidRPr="00942F4E">
        <w:rPr>
          <w:b/>
        </w:rPr>
        <w:t xml:space="preserve"> le previsioni</w:t>
      </w:r>
      <w:r w:rsidR="0082170F" w:rsidRPr="00942F4E">
        <w:rPr>
          <w:b/>
        </w:rPr>
        <w:t xml:space="preserve"> sia</w:t>
      </w:r>
      <w:r w:rsidR="005339B4" w:rsidRPr="00942F4E">
        <w:rPr>
          <w:b/>
        </w:rPr>
        <w:t xml:space="preserve"> per </w:t>
      </w:r>
      <w:r w:rsidR="0082170F" w:rsidRPr="00942F4E">
        <w:rPr>
          <w:b/>
        </w:rPr>
        <w:t xml:space="preserve"> gli investimenti in software </w:t>
      </w:r>
      <w:r w:rsidR="005339B4" w:rsidRPr="00942F4E">
        <w:rPr>
          <w:b/>
        </w:rPr>
        <w:t xml:space="preserve">(55%) </w:t>
      </w:r>
      <w:r w:rsidR="0082170F" w:rsidRPr="00942F4E">
        <w:rPr>
          <w:b/>
        </w:rPr>
        <w:t xml:space="preserve">sia </w:t>
      </w:r>
      <w:r w:rsidR="005339B4" w:rsidRPr="00942F4E">
        <w:rPr>
          <w:b/>
        </w:rPr>
        <w:t xml:space="preserve">per </w:t>
      </w:r>
      <w:r w:rsidR="0082170F" w:rsidRPr="00942F4E">
        <w:rPr>
          <w:b/>
        </w:rPr>
        <w:t>que</w:t>
      </w:r>
      <w:r w:rsidR="005339B4" w:rsidRPr="00942F4E">
        <w:rPr>
          <w:b/>
        </w:rPr>
        <w:t>lli in capitale fisico (71%) registrano percentuali minori</w:t>
      </w:r>
      <w:r w:rsidR="00A24269" w:rsidRPr="00942F4E">
        <w:rPr>
          <w:b/>
        </w:rPr>
        <w:t xml:space="preserve">, per queste due tipologie l’emergenza Pandemia </w:t>
      </w:r>
      <w:r w:rsidR="00F05739" w:rsidRPr="00942F4E">
        <w:rPr>
          <w:b/>
        </w:rPr>
        <w:t xml:space="preserve">ha scoraggiato gli investimenti </w:t>
      </w:r>
      <w:r w:rsidR="00A24269" w:rsidRPr="00942F4E">
        <w:rPr>
          <w:b/>
        </w:rPr>
        <w:t xml:space="preserve"> più di quanto non sia accaduto per gli investimenti in R&amp;S</w:t>
      </w:r>
      <w:r w:rsidR="00F05739" w:rsidRPr="00942F4E">
        <w:rPr>
          <w:b/>
        </w:rPr>
        <w:t>, che per loro natura necessitano di una programmazione e di tempi di realizzazione tali da renderli meno influenzabili dall’andamento della congiuntura</w:t>
      </w:r>
      <w:r w:rsidR="001A7DA1" w:rsidRPr="00942F4E">
        <w:rPr>
          <w:b/>
        </w:rPr>
        <w:t xml:space="preserve"> economica</w:t>
      </w:r>
      <w:r w:rsidR="005339B4">
        <w:t xml:space="preserve">.  Le tipologie di imprese agricole </w:t>
      </w:r>
      <w:r w:rsidR="009E7110">
        <w:t xml:space="preserve">che si differenziano in maniera significativa dalle media per questo tipo di investimenti sono esattamente le stesse dl periodo Pre Covid:  previsioni di investimento con percentuali più elevate per le imprese per le imprese localizzate nel Centro Italia (rispettivamente 51%, 63% e 76%), con più  di 50 addetti (58%, 72% e 82%), condotte da giovani imprenditori (60%, 73% e 69%) </w:t>
      </w:r>
      <w:r w:rsidR="00942F4E">
        <w:t>e da imprenditrici (</w:t>
      </w:r>
      <w:r w:rsidR="00D9376D">
        <w:t>60%, 71% e  79%); m</w:t>
      </w:r>
      <w:r w:rsidR="009E7110">
        <w:t>e</w:t>
      </w:r>
      <w:r w:rsidR="00D9376D">
        <w:t>ntre percentuali inferiori alla media si osservano anche in questo caso  per le imprese della Silvicoltura (34%</w:t>
      </w:r>
      <w:r w:rsidR="00FE41C4">
        <w:t xml:space="preserve">, </w:t>
      </w:r>
      <w:r w:rsidR="00D9376D">
        <w:t>42% e 66%).</w:t>
      </w:r>
    </w:p>
    <w:p w14:paraId="11B06B07" w14:textId="38069AE6" w:rsidR="009F0D24" w:rsidRDefault="009F0D24" w:rsidP="00B92367">
      <w:pPr>
        <w:jc w:val="both"/>
      </w:pPr>
    </w:p>
    <w:p w14:paraId="7071471A" w14:textId="77777777" w:rsidR="009F0D24" w:rsidRDefault="009F0D24" w:rsidP="00B92367">
      <w:pPr>
        <w:jc w:val="both"/>
      </w:pPr>
    </w:p>
    <w:p w14:paraId="748FCD6E" w14:textId="44C19500" w:rsidR="00441E2D" w:rsidRPr="009F0D24" w:rsidRDefault="00441E2D" w:rsidP="00B92367">
      <w:pPr>
        <w:jc w:val="both"/>
        <w:rPr>
          <w:b/>
          <w:bCs/>
          <w:i/>
          <w:iCs/>
        </w:rPr>
      </w:pPr>
      <w:r w:rsidRPr="00441E2D">
        <w:rPr>
          <w:b/>
          <w:bCs/>
          <w:i/>
          <w:iCs/>
        </w:rPr>
        <w:t>Imprese che hanno investito in innovazione (valori%)</w:t>
      </w:r>
    </w:p>
    <w:p w14:paraId="2226008E" w14:textId="7CC87C8C" w:rsidR="00441E2D" w:rsidRDefault="00441E2D" w:rsidP="00B92367">
      <w:pPr>
        <w:jc w:val="both"/>
      </w:pPr>
      <w:r>
        <w:rPr>
          <w:noProof/>
        </w:rPr>
        <w:drawing>
          <wp:inline distT="0" distB="0" distL="0" distR="0" wp14:anchorId="38739439" wp14:editId="0B45C926">
            <wp:extent cx="6120130" cy="3322320"/>
            <wp:effectExtent l="0" t="0" r="0" b="0"/>
            <wp:docPr id="12" name="Grafico 12">
              <a:extLst xmlns:a="http://schemas.openxmlformats.org/drawingml/2006/main">
                <a:ext uri="{FF2B5EF4-FFF2-40B4-BE49-F238E27FC236}">
                  <a16:creationId xmlns:a16="http://schemas.microsoft.com/office/drawing/2014/main" id="{572C99A0-9371-C28A-409A-D207A2D7E9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25F0E2E" w14:textId="5B9C9A5C" w:rsidR="00441E2D" w:rsidRPr="00441E2D" w:rsidRDefault="00441E2D" w:rsidP="00B92367">
      <w:pPr>
        <w:jc w:val="both"/>
        <w:rPr>
          <w:i/>
          <w:iCs/>
          <w:sz w:val="20"/>
          <w:szCs w:val="20"/>
        </w:rPr>
      </w:pPr>
      <w:r w:rsidRPr="007E72A0">
        <w:rPr>
          <w:i/>
          <w:iCs/>
          <w:sz w:val="20"/>
          <w:szCs w:val="20"/>
        </w:rPr>
        <w:t>Fonte: Indagine Centro studi Guglielmo Tagliacarne</w:t>
      </w:r>
      <w:r w:rsidR="009F0D24">
        <w:rPr>
          <w:i/>
          <w:iCs/>
          <w:sz w:val="20"/>
          <w:szCs w:val="20"/>
        </w:rPr>
        <w:t>-Unioncamere</w:t>
      </w:r>
      <w:r w:rsidRPr="007E72A0">
        <w:rPr>
          <w:i/>
          <w:iCs/>
          <w:sz w:val="20"/>
          <w:szCs w:val="20"/>
        </w:rPr>
        <w:t xml:space="preserve"> 2022</w:t>
      </w:r>
      <w:r>
        <w:t xml:space="preserve"> </w:t>
      </w:r>
    </w:p>
    <w:p w14:paraId="418B1570" w14:textId="77777777" w:rsidR="00B8461C" w:rsidRDefault="00D9376D" w:rsidP="00B92367">
      <w:pPr>
        <w:jc w:val="both"/>
        <w:rPr>
          <w:b/>
        </w:rPr>
      </w:pPr>
      <w:r>
        <w:t xml:space="preserve">Il confronto con quanto dichiarato dalle imprese manifatturiere e di servizi intervistate nell’indagine evidenzia </w:t>
      </w:r>
      <w:r w:rsidR="00FE41C4">
        <w:t xml:space="preserve"> </w:t>
      </w:r>
      <w:r w:rsidR="00F05739">
        <w:t xml:space="preserve">che, sia per il  triennio Pre Covid che per quello Post Covid,   </w:t>
      </w:r>
      <w:r w:rsidR="00F05739" w:rsidRPr="001A7DA1">
        <w:t>le imprese agricole hanno investito e prevedono di investire in</w:t>
      </w:r>
      <w:r w:rsidR="00F05739" w:rsidRPr="00F05739">
        <w:rPr>
          <w:b/>
        </w:rPr>
        <w:t xml:space="preserve"> R&amp;S  </w:t>
      </w:r>
      <w:r w:rsidR="00F05739" w:rsidRPr="001A7DA1">
        <w:t>e in</w:t>
      </w:r>
      <w:r w:rsidR="00F05739" w:rsidRPr="00F05739">
        <w:rPr>
          <w:b/>
        </w:rPr>
        <w:t xml:space="preserve"> software/database </w:t>
      </w:r>
      <w:r w:rsidR="00F05739" w:rsidRPr="001A7DA1">
        <w:t xml:space="preserve">più delle imprese terziarie ma meno di quelle </w:t>
      </w:r>
      <w:r w:rsidR="001A7DA1" w:rsidRPr="001A7DA1">
        <w:t>industriali</w:t>
      </w:r>
      <w:r w:rsidR="00F05739">
        <w:t xml:space="preserve">.  </w:t>
      </w:r>
      <w:r w:rsidR="00F05739" w:rsidRPr="00F107F1">
        <w:rPr>
          <w:b/>
        </w:rPr>
        <w:t xml:space="preserve">Per quanto riguarda invece gli investimenti </w:t>
      </w:r>
      <w:r w:rsidR="001A7DA1" w:rsidRPr="00F107F1">
        <w:rPr>
          <w:b/>
        </w:rPr>
        <w:t>in capitale fisico in entrambe i periodi le imprese agricole fanno registrare percentuali più elevate sia delle imprese manifatturiere che di quelle di servizi:  il massiccio ricorso da parte delle imprese ag</w:t>
      </w:r>
      <w:r w:rsidR="005047DD" w:rsidRPr="00F107F1">
        <w:rPr>
          <w:b/>
        </w:rPr>
        <w:t>ricole ai contributi di Impres</w:t>
      </w:r>
      <w:r w:rsidR="001A7DA1" w:rsidRPr="00F107F1">
        <w:rPr>
          <w:b/>
        </w:rPr>
        <w:t>a 4.0 per l’acquisto di trattori e macchinari per l’agricoltura di precisione e di attrezzature innovative per gli allevamenti è molto probabilmente la causa di questo maggiore dinamismo.</w:t>
      </w:r>
    </w:p>
    <w:p w14:paraId="0FC246FA" w14:textId="77777777" w:rsidR="00082433" w:rsidRPr="001D2DC4" w:rsidRDefault="00F107F1" w:rsidP="00941DED">
      <w:pPr>
        <w:jc w:val="both"/>
        <w:rPr>
          <w:b/>
        </w:rPr>
      </w:pPr>
      <w:r w:rsidRPr="00016CA7">
        <w:rPr>
          <w:b/>
        </w:rPr>
        <w:t xml:space="preserve">Passando ad analizzare </w:t>
      </w:r>
      <w:r w:rsidR="001D2DC4">
        <w:rPr>
          <w:b/>
        </w:rPr>
        <w:t>le innovazioni introdotte</w:t>
      </w:r>
      <w:r w:rsidR="00941DED" w:rsidRPr="00016CA7">
        <w:rPr>
          <w:b/>
        </w:rPr>
        <w:t>,</w:t>
      </w:r>
      <w:r w:rsidR="00FF1C75" w:rsidRPr="00016CA7">
        <w:rPr>
          <w:b/>
        </w:rPr>
        <w:t xml:space="preserve"> possiamo osservare </w:t>
      </w:r>
      <w:r w:rsidR="00B3353D" w:rsidRPr="00016CA7">
        <w:rPr>
          <w:b/>
        </w:rPr>
        <w:t>che nel triennio Pre Covid</w:t>
      </w:r>
      <w:r w:rsidR="008075F3" w:rsidRPr="00016CA7">
        <w:rPr>
          <w:b/>
        </w:rPr>
        <w:t xml:space="preserve"> 2017-2019</w:t>
      </w:r>
      <w:r w:rsidR="00B3353D" w:rsidRPr="00016CA7">
        <w:rPr>
          <w:b/>
        </w:rPr>
        <w:t xml:space="preserve"> il 65% delle imprese agricole intervistate ha introdotto innovazioni di processo, il 61% innovazioni di prodotto</w:t>
      </w:r>
      <w:r w:rsidR="008075F3" w:rsidRPr="00016CA7">
        <w:rPr>
          <w:b/>
        </w:rPr>
        <w:t>,</w:t>
      </w:r>
      <w:r w:rsidR="00B3353D" w:rsidRPr="00016CA7">
        <w:rPr>
          <w:b/>
        </w:rPr>
        <w:t xml:space="preserve"> mentre le innovazioni organizzative e di marketing  </w:t>
      </w:r>
      <w:r w:rsidR="00C33D54">
        <w:rPr>
          <w:b/>
        </w:rPr>
        <w:t>totalizzano entrambe il 56</w:t>
      </w:r>
      <w:r w:rsidR="00B925FA" w:rsidRPr="00016CA7">
        <w:rPr>
          <w:b/>
        </w:rPr>
        <w:t>%; si tratta di percentuali molto elevate</w:t>
      </w:r>
      <w:r w:rsidR="00082433" w:rsidRPr="00016CA7">
        <w:rPr>
          <w:b/>
        </w:rPr>
        <w:t xml:space="preserve"> che testimoniano come nei tre anni in oggetto più della metà delle imprese intervistate ha introdotto ciascuna di queste innovazioni.</w:t>
      </w:r>
      <w:r w:rsidR="00082433">
        <w:rPr>
          <w:b/>
          <w:i/>
        </w:rPr>
        <w:t xml:space="preserve"> </w:t>
      </w:r>
      <w:r w:rsidR="008075F3">
        <w:t xml:space="preserve">Disaggregando </w:t>
      </w:r>
      <w:r w:rsidR="00941DED">
        <w:t xml:space="preserve">questi risultati </w:t>
      </w:r>
      <w:r w:rsidR="008075F3">
        <w:t>per le diverse tipologie di impresa agricola  emergono</w:t>
      </w:r>
      <w:r w:rsidR="001D2DC4">
        <w:t>, come era prevedibile,</w:t>
      </w:r>
      <w:r w:rsidR="008075F3">
        <w:t xml:space="preserve"> l</w:t>
      </w:r>
      <w:r w:rsidR="00941DED">
        <w:t xml:space="preserve">e stesse differenziazioni  osservate </w:t>
      </w:r>
      <w:r w:rsidR="008075F3">
        <w:t xml:space="preserve"> a proposito </w:t>
      </w:r>
      <w:r w:rsidR="001D2DC4">
        <w:t>degli investimenti</w:t>
      </w:r>
      <w:r w:rsidR="00941DED">
        <w:t xml:space="preserve">: </w:t>
      </w:r>
      <w:r w:rsidR="00082433">
        <w:t>per tutti</w:t>
      </w:r>
      <w:r w:rsidR="00941DED">
        <w:t xml:space="preserve"> e quattro i tipi di innovazione le percentuali relative alle imprese che le hanno introdotte sono più elevate della media per le imprese localizzate nel Centro Italia</w:t>
      </w:r>
      <w:r w:rsidR="00B925FA">
        <w:t xml:space="preserve"> (innovazioni di processo 70%, innovazioni di prodotto 67%, innovazioni organizzative 60% e innovazioni di marketing 63%)</w:t>
      </w:r>
      <w:r w:rsidR="00941DED">
        <w:t xml:space="preserve">, per le imprese con più </w:t>
      </w:r>
      <w:r w:rsidR="00B925FA">
        <w:t>di 50 addetti (rispettivamente 74%, 73</w:t>
      </w:r>
      <w:r w:rsidR="00941DED">
        <w:t>%</w:t>
      </w:r>
      <w:r w:rsidR="00B925FA">
        <w:t>, 66% e 65%), per le imprese giovanili (7</w:t>
      </w:r>
      <w:r w:rsidR="00941DED">
        <w:t>6%, 69%</w:t>
      </w:r>
      <w:r w:rsidR="00B925FA">
        <w:t>, 69%</w:t>
      </w:r>
      <w:r w:rsidR="00941DED">
        <w:t xml:space="preserve"> e </w:t>
      </w:r>
      <w:r w:rsidR="00B925FA">
        <w:t>68%</w:t>
      </w:r>
      <w:r w:rsidR="00465A7E">
        <w:t>; la maggiore propensione all’innovazione di questa tipologia di impresa emerge anche dai risultati del 7° Censimento Agricoltura dell’ISTA</w:t>
      </w:r>
      <w:r w:rsidR="00B925FA">
        <w:t>) e per le imprese femminili</w:t>
      </w:r>
      <w:r w:rsidR="00532FD9">
        <w:t xml:space="preserve"> (73%, 72%, 73% e 68%)</w:t>
      </w:r>
      <w:r w:rsidR="00C33D54">
        <w:t>,</w:t>
      </w:r>
      <w:r w:rsidR="00941DED">
        <w:t xml:space="preserve"> mentre risultano inferiori alla media per le imprese della Silvicoltura</w:t>
      </w:r>
      <w:r w:rsidR="00B925FA">
        <w:t xml:space="preserve"> (55%, 51%, 46% e 45</w:t>
      </w:r>
      <w:r w:rsidR="00941DED">
        <w:t>%)</w:t>
      </w:r>
      <w:r w:rsidR="00532FD9">
        <w:t>.</w:t>
      </w:r>
      <w:r w:rsidR="00941DED">
        <w:t xml:space="preserve"> </w:t>
      </w:r>
    </w:p>
    <w:p w14:paraId="2B299DC4" w14:textId="77777777" w:rsidR="00AC16BA" w:rsidRPr="00AC16BA" w:rsidRDefault="00082433" w:rsidP="00AC16BA">
      <w:pPr>
        <w:jc w:val="both"/>
      </w:pPr>
      <w:r w:rsidRPr="001D2DC4">
        <w:rPr>
          <w:b/>
        </w:rPr>
        <w:t xml:space="preserve">Nel triennio Post Covid 2022-2024 la classifica </w:t>
      </w:r>
      <w:r w:rsidR="00883BED" w:rsidRPr="001D2DC4">
        <w:rPr>
          <w:b/>
        </w:rPr>
        <w:t>non cambia</w:t>
      </w:r>
      <w:r w:rsidR="0076325F" w:rsidRPr="001D2DC4">
        <w:rPr>
          <w:b/>
        </w:rPr>
        <w:t>,</w:t>
      </w:r>
      <w:r w:rsidR="00883BED" w:rsidRPr="001D2DC4">
        <w:rPr>
          <w:b/>
        </w:rPr>
        <w:t xml:space="preserve"> ma le percentuali diminuiscono significativamente: </w:t>
      </w:r>
      <w:r w:rsidR="00A41FB8">
        <w:rPr>
          <w:b/>
        </w:rPr>
        <w:t xml:space="preserve"> </w:t>
      </w:r>
      <w:r w:rsidR="005F0C58" w:rsidRPr="001D2DC4">
        <w:rPr>
          <w:b/>
        </w:rPr>
        <w:t>a differenza degli investimenti Green che nel periodo Post Covid</w:t>
      </w:r>
      <w:r w:rsidR="0076325F" w:rsidRPr="001D2DC4">
        <w:rPr>
          <w:b/>
        </w:rPr>
        <w:t>,</w:t>
      </w:r>
      <w:r w:rsidR="005F0C58" w:rsidRPr="001D2DC4">
        <w:rPr>
          <w:b/>
        </w:rPr>
        <w:t xml:space="preserve"> </w:t>
      </w:r>
      <w:r w:rsidR="0076325F" w:rsidRPr="001D2DC4">
        <w:rPr>
          <w:b/>
        </w:rPr>
        <w:t>dopo il calo durante la Pandemia , si prevede torni</w:t>
      </w:r>
      <w:r w:rsidR="005F0C58" w:rsidRPr="001D2DC4">
        <w:rPr>
          <w:b/>
        </w:rPr>
        <w:t>no su livelli superiori a quelli Pre Covid, per quanto riguarda l’</w:t>
      </w:r>
      <w:r w:rsidR="0076325F" w:rsidRPr="001D2DC4">
        <w:rPr>
          <w:b/>
        </w:rPr>
        <w:t>introduzio</w:t>
      </w:r>
      <w:r w:rsidR="005F0C58" w:rsidRPr="001D2DC4">
        <w:rPr>
          <w:b/>
        </w:rPr>
        <w:t xml:space="preserve">ne di innovazioni  la Pandemia </w:t>
      </w:r>
      <w:r w:rsidR="0076325F" w:rsidRPr="001D2DC4">
        <w:rPr>
          <w:b/>
        </w:rPr>
        <w:t>sembra influenzare negativamente anche le previsioni per il periodo Post Covid</w:t>
      </w:r>
      <w:r w:rsidR="0076325F" w:rsidRPr="00AC16BA">
        <w:rPr>
          <w:b/>
        </w:rPr>
        <w:t xml:space="preserve">. </w:t>
      </w:r>
      <w:r w:rsidR="00AC16BA">
        <w:rPr>
          <w:b/>
        </w:rPr>
        <w:t>L</w:t>
      </w:r>
      <w:r w:rsidR="00AC16BA">
        <w:t>a P</w:t>
      </w:r>
      <w:r w:rsidR="00AC16BA" w:rsidRPr="00AC16BA">
        <w:t>andemia ha portato ad una maggiore consapevolezza  delle necessitò degli investimenti in sostenibilità ambientale a scapito degli investimenti innovativi.</w:t>
      </w:r>
      <w:r w:rsidR="00AC16BA">
        <w:t xml:space="preserve"> </w:t>
      </w:r>
    </w:p>
    <w:p w14:paraId="46068D35" w14:textId="7CD00080" w:rsidR="009F0D24" w:rsidRDefault="0076325F" w:rsidP="00EB51BA">
      <w:pPr>
        <w:jc w:val="both"/>
      </w:pPr>
      <w:r w:rsidRPr="00290B0C">
        <w:rPr>
          <w:b/>
          <w:i/>
        </w:rPr>
        <w:t>S</w:t>
      </w:r>
      <w:r w:rsidR="00883BED" w:rsidRPr="00290B0C">
        <w:rPr>
          <w:b/>
        </w:rPr>
        <w:t>ono ancora le innovazioni di processo a guidare la classifica</w:t>
      </w:r>
      <w:r w:rsidRPr="00290B0C">
        <w:rPr>
          <w:b/>
        </w:rPr>
        <w:t>,</w:t>
      </w:r>
      <w:r w:rsidR="00883BED" w:rsidRPr="00290B0C">
        <w:rPr>
          <w:b/>
        </w:rPr>
        <w:t xml:space="preserve"> facendo registrare la percentuale più alta di imprese che l’hanno introdotta (56%), seguono le innovazioni prodotto (52%), </w:t>
      </w:r>
      <w:r w:rsidR="004B71DC">
        <w:rPr>
          <w:b/>
        </w:rPr>
        <w:t xml:space="preserve">e, ancora appaiate, </w:t>
      </w:r>
      <w:r w:rsidR="00883BED" w:rsidRPr="00290B0C">
        <w:rPr>
          <w:b/>
        </w:rPr>
        <w:t>le</w:t>
      </w:r>
      <w:r w:rsidRPr="00290B0C">
        <w:rPr>
          <w:b/>
        </w:rPr>
        <w:t xml:space="preserve"> innovazioni organizzative </w:t>
      </w:r>
      <w:r w:rsidR="004B71DC">
        <w:rPr>
          <w:b/>
        </w:rPr>
        <w:t xml:space="preserve">e di marketing </w:t>
      </w:r>
      <w:r w:rsidR="00C33D54" w:rsidRPr="00290B0C">
        <w:rPr>
          <w:b/>
        </w:rPr>
        <w:t>(51%)</w:t>
      </w:r>
      <w:r w:rsidR="00EB51BA" w:rsidRPr="00290B0C">
        <w:rPr>
          <w:b/>
        </w:rPr>
        <w:t>.</w:t>
      </w:r>
      <w:r w:rsidR="002C29BE">
        <w:t xml:space="preserve"> </w:t>
      </w:r>
      <w:r w:rsidR="00883BED">
        <w:t xml:space="preserve">  </w:t>
      </w:r>
      <w:r w:rsidR="00EB51BA">
        <w:t xml:space="preserve">Per </w:t>
      </w:r>
      <w:r>
        <w:t xml:space="preserve">l’ennesima volta </w:t>
      </w:r>
      <w:r w:rsidR="00EB51BA">
        <w:t xml:space="preserve"> </w:t>
      </w:r>
      <w:r w:rsidR="008F6ABF">
        <w:t>si registrano le stesse differenziazioni già osservate</w:t>
      </w:r>
      <w:r w:rsidR="00C33D54">
        <w:t xml:space="preserve"> precedentemente</w:t>
      </w:r>
      <w:r w:rsidR="005F0C58">
        <w:t xml:space="preserve">: </w:t>
      </w:r>
      <w:r w:rsidR="00EB51BA">
        <w:t>sono più elevate della media le percentuali per le imprese localizzate nel Centro Italia (innovazioni di processo 60%, innovazioni di prodotto 55%, innovazioni organizzative</w:t>
      </w:r>
      <w:r w:rsidR="005F0C58">
        <w:t xml:space="preserve"> 55%</w:t>
      </w:r>
      <w:r w:rsidR="008F6ABF">
        <w:t xml:space="preserve"> e  innovazioni di marketing  </w:t>
      </w:r>
      <w:r w:rsidR="00C36FA3">
        <w:t>5</w:t>
      </w:r>
      <w:r w:rsidR="008F6ABF">
        <w:t>6%</w:t>
      </w:r>
      <w:r w:rsidR="00EB51BA">
        <w:t>), per le imprese con più di 50 addetti (rispe</w:t>
      </w:r>
      <w:r w:rsidR="00C36FA3">
        <w:t>ttivamente 65%, 60</w:t>
      </w:r>
      <w:r w:rsidR="00EB51BA">
        <w:t>%, 62%</w:t>
      </w:r>
      <w:r w:rsidR="008F6ABF">
        <w:t xml:space="preserve"> e 65%</w:t>
      </w:r>
      <w:r w:rsidR="00EB51BA">
        <w:t xml:space="preserve">), </w:t>
      </w:r>
      <w:r w:rsidR="00C36FA3">
        <w:t>per le imprese giovanili (69%, 67</w:t>
      </w:r>
      <w:r w:rsidR="00EB51BA">
        <w:t>%</w:t>
      </w:r>
      <w:r w:rsidR="00C36FA3">
        <w:t>, 70</w:t>
      </w:r>
      <w:r w:rsidR="00EB51BA">
        <w:t>%</w:t>
      </w:r>
      <w:r w:rsidR="008F6ABF">
        <w:t xml:space="preserve"> e 65%</w:t>
      </w:r>
      <w:r w:rsidR="00EB51BA">
        <w:t>) e per le imprese femminili</w:t>
      </w:r>
      <w:r w:rsidR="00C36FA3">
        <w:t xml:space="preserve"> (71%, 64%, 68% e 65%), al contrario risultano sempre inferiori alle media e le imprese della Silvicoltura</w:t>
      </w:r>
      <w:r w:rsidR="008F6ABF">
        <w:t xml:space="preserve"> </w:t>
      </w:r>
      <w:r w:rsidR="00C36FA3">
        <w:t>(44%, 39%, 38% e 38%).</w:t>
      </w:r>
    </w:p>
    <w:p w14:paraId="52B020D7" w14:textId="77777777" w:rsidR="001911C4" w:rsidRDefault="001911C4" w:rsidP="00EB51BA">
      <w:pPr>
        <w:jc w:val="both"/>
      </w:pPr>
    </w:p>
    <w:p w14:paraId="11B8FD11" w14:textId="02712364" w:rsidR="004201A9" w:rsidRPr="004201A9" w:rsidRDefault="004201A9" w:rsidP="00EB51BA">
      <w:pPr>
        <w:jc w:val="both"/>
        <w:rPr>
          <w:b/>
          <w:bCs/>
          <w:i/>
          <w:iCs/>
        </w:rPr>
      </w:pPr>
      <w:r w:rsidRPr="00441E2D">
        <w:rPr>
          <w:b/>
          <w:bCs/>
          <w:i/>
          <w:iCs/>
        </w:rPr>
        <w:t>Imprese che hanno investito in innovazione</w:t>
      </w:r>
      <w:r>
        <w:rPr>
          <w:b/>
          <w:bCs/>
          <w:i/>
          <w:iCs/>
        </w:rPr>
        <w:t xml:space="preserve"> per tipologia di innovazione</w:t>
      </w:r>
      <w:r w:rsidRPr="00441E2D">
        <w:rPr>
          <w:b/>
          <w:bCs/>
          <w:i/>
          <w:iCs/>
        </w:rPr>
        <w:t xml:space="preserve"> (valori%)</w:t>
      </w:r>
    </w:p>
    <w:p w14:paraId="2DB847B0" w14:textId="77777777" w:rsidR="004201A9" w:rsidRDefault="004201A9" w:rsidP="00EB51BA">
      <w:pPr>
        <w:jc w:val="both"/>
      </w:pPr>
      <w:r>
        <w:rPr>
          <w:noProof/>
        </w:rPr>
        <w:drawing>
          <wp:inline distT="0" distB="0" distL="0" distR="0" wp14:anchorId="50B307D7" wp14:editId="7E648F12">
            <wp:extent cx="6120130" cy="3187065"/>
            <wp:effectExtent l="0" t="0" r="0" b="0"/>
            <wp:docPr id="13" name="Grafico 13">
              <a:extLst xmlns:a="http://schemas.openxmlformats.org/drawingml/2006/main">
                <a:ext uri="{FF2B5EF4-FFF2-40B4-BE49-F238E27FC236}">
                  <a16:creationId xmlns:a16="http://schemas.microsoft.com/office/drawing/2014/main" id="{F454FCDD-ADE2-4268-8C99-A90BE48B10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5F0C58">
        <w:t xml:space="preserve"> </w:t>
      </w:r>
    </w:p>
    <w:p w14:paraId="769643D6" w14:textId="3FE7A831" w:rsidR="00F639B9" w:rsidRPr="004201A9" w:rsidRDefault="004201A9" w:rsidP="00EB51BA">
      <w:pPr>
        <w:jc w:val="both"/>
        <w:rPr>
          <w:i/>
          <w:iCs/>
          <w:sz w:val="20"/>
          <w:szCs w:val="20"/>
        </w:rPr>
      </w:pPr>
      <w:r w:rsidRPr="007E72A0">
        <w:rPr>
          <w:i/>
          <w:iCs/>
          <w:sz w:val="20"/>
          <w:szCs w:val="20"/>
        </w:rPr>
        <w:t>Fonte: Indagine Centro studi Guglielmo Tagliacarne</w:t>
      </w:r>
      <w:r w:rsidR="00766159">
        <w:rPr>
          <w:i/>
          <w:iCs/>
          <w:sz w:val="20"/>
          <w:szCs w:val="20"/>
        </w:rPr>
        <w:t>-Unioncamere</w:t>
      </w:r>
      <w:r w:rsidRPr="007E72A0">
        <w:rPr>
          <w:i/>
          <w:iCs/>
          <w:sz w:val="20"/>
          <w:szCs w:val="20"/>
        </w:rPr>
        <w:t xml:space="preserve"> 2022</w:t>
      </w:r>
      <w:r>
        <w:t xml:space="preserve"> </w:t>
      </w:r>
      <w:r w:rsidR="0076325F">
        <w:t xml:space="preserve"> </w:t>
      </w:r>
    </w:p>
    <w:p w14:paraId="345F740A" w14:textId="77777777" w:rsidR="002C5071" w:rsidRDefault="002C5071" w:rsidP="00EB51BA">
      <w:pPr>
        <w:jc w:val="both"/>
      </w:pPr>
      <w:r w:rsidRPr="00CB14BD">
        <w:rPr>
          <w:b/>
        </w:rPr>
        <w:t xml:space="preserve">Se confrontiamo questi risultati con quelli delle imprese industriali e di servizio osserviamo che in entrambe i periodi Pre e Post Covid  </w:t>
      </w:r>
      <w:r w:rsidR="00290B0C" w:rsidRPr="00CB14BD">
        <w:rPr>
          <w:b/>
        </w:rPr>
        <w:t xml:space="preserve">le imprese agricole fanno registrare </w:t>
      </w:r>
      <w:r w:rsidRPr="00CB14BD">
        <w:rPr>
          <w:b/>
        </w:rPr>
        <w:t xml:space="preserve"> tassi di introduzione </w:t>
      </w:r>
      <w:r w:rsidR="00BD28C5">
        <w:rPr>
          <w:b/>
        </w:rPr>
        <w:t xml:space="preserve">di tutte le tipologie di </w:t>
      </w:r>
      <w:r w:rsidR="00F34E09">
        <w:rPr>
          <w:b/>
        </w:rPr>
        <w:t>i</w:t>
      </w:r>
      <w:r w:rsidR="00BD28C5">
        <w:rPr>
          <w:b/>
        </w:rPr>
        <w:t xml:space="preserve">nnovazione </w:t>
      </w:r>
      <w:r w:rsidR="00CB14BD" w:rsidRPr="00CB14BD">
        <w:rPr>
          <w:b/>
        </w:rPr>
        <w:t xml:space="preserve">sempre </w:t>
      </w:r>
      <w:r w:rsidRPr="00CB14BD">
        <w:rPr>
          <w:b/>
        </w:rPr>
        <w:t xml:space="preserve">superiori  </w:t>
      </w:r>
      <w:r w:rsidR="00CB14BD" w:rsidRPr="00CB14BD">
        <w:rPr>
          <w:b/>
        </w:rPr>
        <w:t xml:space="preserve">(anche se in alcuni casi non di molto) </w:t>
      </w:r>
      <w:r w:rsidRPr="00CB14BD">
        <w:rPr>
          <w:b/>
        </w:rPr>
        <w:t>per tutte le tipologie d</w:t>
      </w:r>
      <w:r w:rsidR="00531C2A" w:rsidRPr="00CB14BD">
        <w:rPr>
          <w:b/>
        </w:rPr>
        <w:t>i innovazione</w:t>
      </w:r>
      <w:r w:rsidR="00CB14BD">
        <w:t>.</w:t>
      </w:r>
    </w:p>
    <w:p w14:paraId="4CF3627F" w14:textId="77777777" w:rsidR="00985A2F" w:rsidRPr="00574006" w:rsidRDefault="00596EEE" w:rsidP="00EB51BA">
      <w:pPr>
        <w:jc w:val="both"/>
      </w:pPr>
      <w:r w:rsidRPr="00574006">
        <w:t>Riassumendo</w:t>
      </w:r>
      <w:r w:rsidR="00985A2F" w:rsidRPr="00574006">
        <w:t>, le tipologie di impresa agricola più attive nell’introdurre innovazioni in entrambi i periodi sono le stesse che mostrano una maggiore propensione all’investimento:</w:t>
      </w:r>
    </w:p>
    <w:p w14:paraId="30168B30" w14:textId="77777777" w:rsidR="003313E0" w:rsidRPr="00574006" w:rsidRDefault="00985A2F" w:rsidP="00985A2F">
      <w:pPr>
        <w:pStyle w:val="Paragrafoelenco"/>
        <w:numPr>
          <w:ilvl w:val="0"/>
          <w:numId w:val="9"/>
        </w:numPr>
        <w:jc w:val="both"/>
      </w:pPr>
      <w:r w:rsidRPr="00574006">
        <w:t>imprese agricole localizzate nel Centro Italia (?)</w:t>
      </w:r>
    </w:p>
    <w:p w14:paraId="6BE67D3D" w14:textId="77777777" w:rsidR="00985A2F" w:rsidRPr="00574006" w:rsidRDefault="00985A2F" w:rsidP="00985A2F">
      <w:pPr>
        <w:pStyle w:val="Paragrafoelenco"/>
        <w:numPr>
          <w:ilvl w:val="0"/>
          <w:numId w:val="9"/>
        </w:numPr>
        <w:jc w:val="both"/>
      </w:pPr>
      <w:r w:rsidRPr="00574006">
        <w:t>imprese agricole con più di 50 addetti</w:t>
      </w:r>
    </w:p>
    <w:p w14:paraId="045F6DF9" w14:textId="77777777" w:rsidR="00985A2F" w:rsidRPr="00574006" w:rsidRDefault="00985A2F" w:rsidP="00985A2F">
      <w:pPr>
        <w:pStyle w:val="Paragrafoelenco"/>
        <w:numPr>
          <w:ilvl w:val="0"/>
          <w:numId w:val="9"/>
        </w:numPr>
        <w:jc w:val="both"/>
      </w:pPr>
      <w:r w:rsidRPr="00574006">
        <w:t>imprese agricole giovanili</w:t>
      </w:r>
    </w:p>
    <w:p w14:paraId="5C0A90A5" w14:textId="77777777" w:rsidR="00985A2F" w:rsidRPr="00574006" w:rsidRDefault="00985A2F" w:rsidP="00985A2F">
      <w:pPr>
        <w:pStyle w:val="Paragrafoelenco"/>
        <w:numPr>
          <w:ilvl w:val="0"/>
          <w:numId w:val="9"/>
        </w:numPr>
        <w:jc w:val="both"/>
      </w:pPr>
      <w:r w:rsidRPr="00574006">
        <w:t>imprese agricole femmin</w:t>
      </w:r>
      <w:r w:rsidR="00A70DD3" w:rsidRPr="00574006">
        <w:t>i</w:t>
      </w:r>
      <w:r w:rsidRPr="00574006">
        <w:t>li</w:t>
      </w:r>
    </w:p>
    <w:p w14:paraId="1C5BE3B5" w14:textId="77777777" w:rsidR="00985A2F" w:rsidRPr="00574006" w:rsidRDefault="00985A2F" w:rsidP="00985A2F">
      <w:pPr>
        <w:jc w:val="both"/>
      </w:pPr>
      <w:r w:rsidRPr="00574006">
        <w:t xml:space="preserve">Mentre le imprese della Silvicoltura </w:t>
      </w:r>
      <w:r w:rsidR="00A70DD3" w:rsidRPr="00574006">
        <w:t xml:space="preserve"> e quelle del Sud e delle Isole </w:t>
      </w:r>
      <w:r w:rsidRPr="00574006">
        <w:t>fanno sempre registrare percentuali molto inferiori.</w:t>
      </w:r>
    </w:p>
    <w:p w14:paraId="0C3B6176" w14:textId="77777777" w:rsidR="00F34E09" w:rsidRDefault="00A70DD3" w:rsidP="00985A2F">
      <w:pPr>
        <w:jc w:val="both"/>
      </w:pPr>
      <w:r w:rsidRPr="004B71DC">
        <w:rPr>
          <w:b/>
        </w:rPr>
        <w:t>Se confrontiamo</w:t>
      </w:r>
      <w:r>
        <w:t xml:space="preserve"> questi risultati con quelli analizzati a proposito degli </w:t>
      </w:r>
      <w:r w:rsidRPr="00A70DD3">
        <w:rPr>
          <w:b/>
        </w:rPr>
        <w:t>investimenti Green</w:t>
      </w:r>
      <w:r>
        <w:t>, possiamo osservare una analogia per quanto riguarda  il maggiore dinamismo delle imprese agricole di maggiori dimensioni</w:t>
      </w:r>
      <w:r w:rsidR="004B71DC">
        <w:t xml:space="preserve"> e la minore propensione ad investire delle imprese della Silvicoltura, mentre per quanto riguarda la localizzazione</w:t>
      </w:r>
      <w:r w:rsidR="00BD28C5">
        <w:t xml:space="preserve"> un maggiore diffusione degli investimenti per la sostenibilità ambientale si registrava nelle imprese agricole del Nord Italia.</w:t>
      </w:r>
      <w:r w:rsidR="00E51975">
        <w:t xml:space="preserve"> </w:t>
      </w:r>
      <w:r w:rsidR="005D32F7">
        <w:t xml:space="preserve"> I</w:t>
      </w:r>
      <w:r w:rsidR="00F34E09">
        <w:t>nfine, i</w:t>
      </w:r>
      <w:r w:rsidR="005D32F7">
        <w:t>n relazione all’età e al genere dell’imprenditore, sono le imprese giovanili e quelle</w:t>
      </w:r>
      <w:r w:rsidR="00F34E09">
        <w:t xml:space="preserve"> femminili che investono di più.</w:t>
      </w:r>
    </w:p>
    <w:p w14:paraId="5D16A303" w14:textId="77777777" w:rsidR="00F34E09" w:rsidRDefault="00F34E09" w:rsidP="00F34E09">
      <w:pPr>
        <w:jc w:val="both"/>
      </w:pPr>
      <w:r>
        <w:t>Le imprese femminili  mostrano,quindi, una propensione ad investire  superiore alla media sia per quanto riguarda gli investimenti green che e per quelli  più innovativi: se in passato esisteva una dicotomia tra imprese maschili caratterizzate da un modo di fare impresa più competitivo e imprese femminili caratterizzate invece da un modo di fare impresa più tradizionale, oggi questa distinzione non sembra essere più valida, grazie ad una imprenditorialità femminile che affronta la competitività  investendo nell’innovazione e nella sostenibilità in misura maggiore rispetto a quelle maschili</w:t>
      </w:r>
      <w:r w:rsidR="00F6701F">
        <w:t xml:space="preserve"> (cfr. V Rapporto nazionale imprenditoria femminile</w:t>
      </w:r>
      <w:r w:rsidR="006A426D">
        <w:t xml:space="preserve">, </w:t>
      </w:r>
      <w:r w:rsidR="00F6701F">
        <w:t xml:space="preserve"> Unioncamere</w:t>
      </w:r>
      <w:r w:rsidR="006A426D">
        <w:t>- Si.Camera_ Centro Studi Guglielmo Tagliacarne)</w:t>
      </w:r>
      <w:r>
        <w:t>.</w:t>
      </w:r>
    </w:p>
    <w:p w14:paraId="565DE59C" w14:textId="77777777" w:rsidR="00AC16BA" w:rsidRDefault="00AC16BA" w:rsidP="00B92367">
      <w:pPr>
        <w:jc w:val="both"/>
        <w:rPr>
          <w:b/>
          <w:sz w:val="28"/>
          <w:szCs w:val="28"/>
          <w:u w:val="single"/>
        </w:rPr>
      </w:pPr>
    </w:p>
    <w:p w14:paraId="6B3E7241" w14:textId="77777777" w:rsidR="00A66CC6" w:rsidRDefault="002C5071" w:rsidP="00B92367">
      <w:pPr>
        <w:jc w:val="both"/>
        <w:rPr>
          <w:b/>
          <w:sz w:val="28"/>
          <w:szCs w:val="28"/>
          <w:u w:val="single"/>
        </w:rPr>
      </w:pPr>
      <w:r w:rsidRPr="00180779">
        <w:rPr>
          <w:b/>
          <w:sz w:val="28"/>
          <w:szCs w:val="28"/>
          <w:u w:val="single"/>
        </w:rPr>
        <w:t>FORMAZIONE</w:t>
      </w:r>
    </w:p>
    <w:p w14:paraId="55B2069F" w14:textId="77777777" w:rsidR="00180779" w:rsidRPr="00180779" w:rsidRDefault="00180779" w:rsidP="00B92367">
      <w:pPr>
        <w:jc w:val="both"/>
        <w:rPr>
          <w:b/>
          <w:sz w:val="28"/>
          <w:szCs w:val="28"/>
          <w:u w:val="single"/>
        </w:rPr>
      </w:pPr>
    </w:p>
    <w:p w14:paraId="29B4E7E4" w14:textId="77777777" w:rsidR="0066615D" w:rsidRPr="00944DF2" w:rsidRDefault="00CA03D6" w:rsidP="00B92367">
      <w:pPr>
        <w:jc w:val="both"/>
        <w:rPr>
          <w:b/>
        </w:rPr>
      </w:pPr>
      <w:r w:rsidRPr="00944DF2">
        <w:rPr>
          <w:b/>
        </w:rPr>
        <w:t>I</w:t>
      </w:r>
      <w:r w:rsidR="0066615D" w:rsidRPr="00944DF2">
        <w:rPr>
          <w:b/>
        </w:rPr>
        <w:t xml:space="preserve">l </w:t>
      </w:r>
      <w:r w:rsidR="00AA47E5" w:rsidRPr="00944DF2">
        <w:rPr>
          <w:b/>
        </w:rPr>
        <w:t xml:space="preserve"> 42% delle imprese agricole intervistate dichiara la presenz</w:t>
      </w:r>
      <w:r w:rsidRPr="00944DF2">
        <w:rPr>
          <w:b/>
        </w:rPr>
        <w:t>a in azienda di addetti laureati</w:t>
      </w:r>
      <w:r w:rsidR="00AA47E5" w:rsidRPr="00944DF2">
        <w:rPr>
          <w:b/>
        </w:rPr>
        <w:t xml:space="preserve">, comprendendo tra gli addetti anche i titolari e la manodopera familiare. </w:t>
      </w:r>
      <w:r w:rsidR="00A27F4B" w:rsidRPr="00944DF2">
        <w:rPr>
          <w:b/>
        </w:rPr>
        <w:t xml:space="preserve"> </w:t>
      </w:r>
      <w:r w:rsidR="00AA47E5" w:rsidRPr="00944DF2">
        <w:rPr>
          <w:b/>
        </w:rPr>
        <w:t>Si</w:t>
      </w:r>
      <w:r w:rsidR="00A27F4B" w:rsidRPr="00944DF2">
        <w:rPr>
          <w:b/>
        </w:rPr>
        <w:t xml:space="preserve"> tratta di una percentuale sensibilmente </w:t>
      </w:r>
      <w:r w:rsidR="00AA47E5" w:rsidRPr="00944DF2">
        <w:rPr>
          <w:b/>
        </w:rPr>
        <w:t xml:space="preserve"> inferiore</w:t>
      </w:r>
      <w:r w:rsidR="00A27F4B" w:rsidRPr="00944DF2">
        <w:rPr>
          <w:b/>
        </w:rPr>
        <w:t xml:space="preserve"> a quella registrata nelle imprese manifatturiere (55%)</w:t>
      </w:r>
      <w:r w:rsidR="00AA47E5" w:rsidRPr="00944DF2">
        <w:rPr>
          <w:b/>
        </w:rPr>
        <w:t xml:space="preserve"> </w:t>
      </w:r>
      <w:r w:rsidRPr="00944DF2">
        <w:rPr>
          <w:b/>
        </w:rPr>
        <w:t xml:space="preserve"> e in quelle d</w:t>
      </w:r>
      <w:r w:rsidR="00A27F4B" w:rsidRPr="00944DF2">
        <w:rPr>
          <w:b/>
        </w:rPr>
        <w:t>i servizi (53%)</w:t>
      </w:r>
      <w:r w:rsidRPr="00944DF2">
        <w:rPr>
          <w:b/>
        </w:rPr>
        <w:t xml:space="preserve">, che conferma il </w:t>
      </w:r>
      <w:r w:rsidR="0074006E" w:rsidRPr="00944DF2">
        <w:rPr>
          <w:b/>
        </w:rPr>
        <w:t xml:space="preserve">minor grado di istruzione </w:t>
      </w:r>
      <w:r w:rsidR="00944DF2" w:rsidRPr="00944DF2">
        <w:rPr>
          <w:b/>
        </w:rPr>
        <w:t xml:space="preserve">degli addetti </w:t>
      </w:r>
      <w:r w:rsidR="0074006E" w:rsidRPr="00944DF2">
        <w:rPr>
          <w:b/>
        </w:rPr>
        <w:t>delle aziende agricole.</w:t>
      </w:r>
      <w:r w:rsidR="00715D29">
        <w:t xml:space="preserve"> </w:t>
      </w:r>
      <w:r w:rsidR="003C5F2B">
        <w:t xml:space="preserve"> Le imprese agricole con una più alta presenza di  addetti laureati  sono le imprese di coltivazione (48%),  le più grandi (60% le imprese tra i 10 e i 50 addetti,  74% quelle oltre i 50 addetti), quelle localizzate nel Centro Italia (54%), le imprese giovanili </w:t>
      </w:r>
      <w:r w:rsidR="00750D64">
        <w:t xml:space="preserve"> (50%) e le imprese femminili (53%). </w:t>
      </w:r>
      <w:r w:rsidR="00750D64" w:rsidRPr="00944DF2">
        <w:rPr>
          <w:b/>
        </w:rPr>
        <w:t xml:space="preserve">Si tratta ancora delle tipologie di impresa agricole che, come abbiamo visto nel paragrafo precedente, manifestano una più alta propensione agli investimenti </w:t>
      </w:r>
      <w:r w:rsidR="00944DF2" w:rsidRPr="00944DF2">
        <w:rPr>
          <w:b/>
        </w:rPr>
        <w:t xml:space="preserve">e all’introduzione di </w:t>
      </w:r>
      <w:r w:rsidR="00944DF2">
        <w:rPr>
          <w:b/>
        </w:rPr>
        <w:t xml:space="preserve">investimenti e di </w:t>
      </w:r>
      <w:r w:rsidR="00944DF2" w:rsidRPr="00944DF2">
        <w:rPr>
          <w:b/>
        </w:rPr>
        <w:t>innovazioni</w:t>
      </w:r>
      <w:r w:rsidR="00750D64" w:rsidRPr="00944DF2">
        <w:rPr>
          <w:b/>
        </w:rPr>
        <w:t>: evidentemente esiste una forte correlazione positiva tra la presenza di laureati e l’introduzione di innovazioni in azienda.</w:t>
      </w:r>
    </w:p>
    <w:p w14:paraId="121686FF" w14:textId="352C46FA" w:rsidR="003C5CC2" w:rsidRDefault="00944DF2" w:rsidP="00B92367">
      <w:pPr>
        <w:jc w:val="both"/>
      </w:pPr>
      <w:r w:rsidRPr="00944DF2">
        <w:rPr>
          <w:b/>
        </w:rPr>
        <w:t xml:space="preserve">Il minor grado di istruzione </w:t>
      </w:r>
      <w:r w:rsidR="00F27664" w:rsidRPr="00944DF2">
        <w:rPr>
          <w:b/>
        </w:rPr>
        <w:t xml:space="preserve">nelle imprese agricole </w:t>
      </w:r>
      <w:r w:rsidR="00750D64" w:rsidRPr="00944DF2">
        <w:rPr>
          <w:b/>
        </w:rPr>
        <w:t>sembra però essere controbilanciato da una maggiore propensione ad investire  nel miglioramento della co</w:t>
      </w:r>
      <w:r w:rsidR="00F27664" w:rsidRPr="00944DF2">
        <w:rPr>
          <w:b/>
        </w:rPr>
        <w:t>mpetenze tecnico-professionali degli addetti  rispetto a quanto avviene nelle imprese industriali e terziarie.</w:t>
      </w:r>
      <w:r w:rsidR="00F27664">
        <w:t xml:space="preserve"> </w:t>
      </w:r>
      <w:r w:rsidR="001172A0">
        <w:t xml:space="preserve"> </w:t>
      </w:r>
      <w:r w:rsidR="00182ED8">
        <w:t>Nel periodo Pre Covid 2017-2019 l</w:t>
      </w:r>
      <w:r w:rsidR="00C45DFC">
        <w:t>’87% delle  imprese agricole intervistate ha  investito</w:t>
      </w:r>
      <w:r w:rsidR="00C45DFC" w:rsidRPr="00C45DFC">
        <w:t xml:space="preserve"> </w:t>
      </w:r>
      <w:r w:rsidR="00C45DFC">
        <w:t xml:space="preserve">nella formazione del personale della propria azienda per accrescere le </w:t>
      </w:r>
      <w:r w:rsidR="00C45DFC" w:rsidRPr="00AB5162">
        <w:rPr>
          <w:b/>
        </w:rPr>
        <w:t>attuali competenze</w:t>
      </w:r>
      <w:r w:rsidR="00C45DFC">
        <w:t xml:space="preserve"> tecnic</w:t>
      </w:r>
      <w:r w:rsidR="00182ED8">
        <w:t>o</w:t>
      </w:r>
      <w:r w:rsidR="00C45DFC">
        <w:t>-professional</w:t>
      </w:r>
      <w:r w:rsidR="00182ED8">
        <w:t>i e</w:t>
      </w:r>
      <w:r w:rsidR="00C45DFC">
        <w:t xml:space="preserve"> l’81% prevede di farlo nel periodo Post Covid</w:t>
      </w:r>
      <w:r w:rsidR="00544D87">
        <w:t xml:space="preserve"> 2022-2024, mentre</w:t>
      </w:r>
      <w:r w:rsidR="00182ED8">
        <w:t xml:space="preserve"> per le imprese manifatturiere le analoghe percentuali sono sensibilmente inferiori  (</w:t>
      </w:r>
      <w:r w:rsidR="00544D87">
        <w:t>76% e 74%)</w:t>
      </w:r>
      <w:r>
        <w:t>,</w:t>
      </w:r>
      <w:r w:rsidR="00182ED8">
        <w:t xml:space="preserve"> </w:t>
      </w:r>
      <w:r w:rsidR="00544D87">
        <w:t xml:space="preserve">come anche </w:t>
      </w:r>
      <w:r w:rsidR="00182ED8">
        <w:t>per le imprese di servizi</w:t>
      </w:r>
      <w:r w:rsidR="00544D87">
        <w:t xml:space="preserve"> (76% e 71%).  Lo stesso vale per la formazione per accrescere le </w:t>
      </w:r>
      <w:r w:rsidR="00544D87" w:rsidRPr="00AB5162">
        <w:rPr>
          <w:b/>
        </w:rPr>
        <w:t>nuove competenze</w:t>
      </w:r>
      <w:r w:rsidR="00544D87">
        <w:t>,  nella quale il 70% delle imprese agricole hanno investito</w:t>
      </w:r>
      <w:r w:rsidR="00182ED8">
        <w:t xml:space="preserve">  </w:t>
      </w:r>
      <w:r w:rsidR="00AB5162">
        <w:t>nel periodo Pre Covid e il 66</w:t>
      </w:r>
      <w:r w:rsidR="00544D87">
        <w:t xml:space="preserve">% intende investire nel triennio 2022-2024:  in </w:t>
      </w:r>
      <w:r w:rsidR="00AB5162">
        <w:t>questo caso lo scarto si riduce ma rimane comunque significativo sia per le imprese industriali (rispettivamente 63% e 61%) che per quelle terziarie (63% e 61%).</w:t>
      </w:r>
    </w:p>
    <w:p w14:paraId="58513492" w14:textId="02FF18A6" w:rsidR="003C5CC2" w:rsidRPr="00A65F69" w:rsidRDefault="003C5CC2" w:rsidP="00B92367">
      <w:pPr>
        <w:jc w:val="both"/>
        <w:rPr>
          <w:b/>
          <w:bCs/>
          <w:i/>
          <w:iCs/>
        </w:rPr>
      </w:pPr>
      <w:r w:rsidRPr="00A65F69">
        <w:rPr>
          <w:b/>
          <w:bCs/>
          <w:i/>
          <w:iCs/>
        </w:rPr>
        <w:t>Imprese</w:t>
      </w:r>
      <w:r w:rsidR="00A65F69">
        <w:rPr>
          <w:b/>
          <w:bCs/>
          <w:i/>
          <w:iCs/>
        </w:rPr>
        <w:t xml:space="preserve"> agricole</w:t>
      </w:r>
      <w:r w:rsidRPr="00A65F69">
        <w:rPr>
          <w:b/>
          <w:bCs/>
          <w:i/>
          <w:iCs/>
        </w:rPr>
        <w:t xml:space="preserve"> che hanno investito in formazione del personale </w:t>
      </w:r>
      <w:r w:rsidR="00A65F69" w:rsidRPr="00A65F69">
        <w:rPr>
          <w:b/>
          <w:bCs/>
          <w:i/>
          <w:iCs/>
        </w:rPr>
        <w:t>(valori%)</w:t>
      </w:r>
    </w:p>
    <w:p w14:paraId="1C30DF69" w14:textId="0BD0D056" w:rsidR="00611C50" w:rsidRDefault="003C5CC2" w:rsidP="00B92367">
      <w:pPr>
        <w:jc w:val="both"/>
      </w:pPr>
      <w:r>
        <w:rPr>
          <w:noProof/>
        </w:rPr>
        <w:drawing>
          <wp:inline distT="0" distB="0" distL="0" distR="0" wp14:anchorId="6E0D4969" wp14:editId="23B05D4E">
            <wp:extent cx="6057900" cy="3439795"/>
            <wp:effectExtent l="0" t="0" r="0" b="0"/>
            <wp:docPr id="17" name="Grafico 17">
              <a:extLst xmlns:a="http://schemas.openxmlformats.org/drawingml/2006/main">
                <a:ext uri="{FF2B5EF4-FFF2-40B4-BE49-F238E27FC236}">
                  <a16:creationId xmlns:a16="http://schemas.microsoft.com/office/drawing/2014/main" id="{A46EF502-F0BC-187C-1922-6AB0FD70B9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B5162">
        <w:t xml:space="preserve"> </w:t>
      </w:r>
    </w:p>
    <w:p w14:paraId="64D526DE" w14:textId="7DB2C99A" w:rsidR="00A65F69" w:rsidRPr="00A65F69" w:rsidRDefault="00A65F69" w:rsidP="00B92367">
      <w:pPr>
        <w:jc w:val="both"/>
        <w:rPr>
          <w:i/>
          <w:iCs/>
          <w:sz w:val="20"/>
          <w:szCs w:val="20"/>
        </w:rPr>
      </w:pPr>
      <w:r w:rsidRPr="007E72A0">
        <w:rPr>
          <w:i/>
          <w:iCs/>
          <w:sz w:val="20"/>
          <w:szCs w:val="20"/>
        </w:rPr>
        <w:t>Fonte: Indagine Centro studi Guglielmo Tagliacarne</w:t>
      </w:r>
      <w:r w:rsidR="00766159">
        <w:rPr>
          <w:i/>
          <w:iCs/>
          <w:sz w:val="20"/>
          <w:szCs w:val="20"/>
        </w:rPr>
        <w:t>-Unioncamere</w:t>
      </w:r>
      <w:r w:rsidRPr="007E72A0">
        <w:rPr>
          <w:i/>
          <w:iCs/>
          <w:sz w:val="20"/>
          <w:szCs w:val="20"/>
        </w:rPr>
        <w:t xml:space="preserve"> 2022</w:t>
      </w:r>
      <w:r>
        <w:t xml:space="preserve">  </w:t>
      </w:r>
    </w:p>
    <w:p w14:paraId="471736DD" w14:textId="77777777" w:rsidR="00ED520D" w:rsidRPr="00123FCB" w:rsidRDefault="00ED520D" w:rsidP="00B92367">
      <w:pPr>
        <w:jc w:val="both"/>
        <w:rPr>
          <w:b/>
        </w:rPr>
      </w:pPr>
      <w:r w:rsidRPr="00123FCB">
        <w:rPr>
          <w:b/>
        </w:rPr>
        <w:t>Come si può notare dal confronto tra i due periodi</w:t>
      </w:r>
      <w:r w:rsidR="00611C50" w:rsidRPr="00123FCB">
        <w:rPr>
          <w:b/>
        </w:rPr>
        <w:t xml:space="preserve"> Pre e Post Covid</w:t>
      </w:r>
      <w:r w:rsidRPr="00123FCB">
        <w:rPr>
          <w:b/>
        </w:rPr>
        <w:t>,</w:t>
      </w:r>
      <w:r w:rsidR="008E0AEB" w:rsidRPr="00123FCB">
        <w:rPr>
          <w:b/>
        </w:rPr>
        <w:t xml:space="preserve"> </w:t>
      </w:r>
      <w:r w:rsidR="00123FCB" w:rsidRPr="00123FCB">
        <w:rPr>
          <w:b/>
        </w:rPr>
        <w:t>gli investimenti in formazione del personale sono stati più elevati</w:t>
      </w:r>
      <w:r w:rsidR="008E0AEB" w:rsidRPr="00123FCB">
        <w:rPr>
          <w:b/>
        </w:rPr>
        <w:t xml:space="preserve"> nel triennio 2017-2019 rispetto  </w:t>
      </w:r>
      <w:r w:rsidR="00123FCB" w:rsidRPr="00123FCB">
        <w:rPr>
          <w:b/>
        </w:rPr>
        <w:t>a quanto previsto per il t</w:t>
      </w:r>
      <w:r w:rsidR="008E0AEB" w:rsidRPr="00123FCB">
        <w:rPr>
          <w:b/>
        </w:rPr>
        <w:t>rienni</w:t>
      </w:r>
      <w:r w:rsidR="00123FCB" w:rsidRPr="00123FCB">
        <w:rPr>
          <w:b/>
        </w:rPr>
        <w:t>o</w:t>
      </w:r>
      <w:r w:rsidR="008E0AEB" w:rsidRPr="00123FCB">
        <w:rPr>
          <w:b/>
        </w:rPr>
        <w:t xml:space="preserve"> 2022-2024, ma lo scarto non </w:t>
      </w:r>
      <w:r w:rsidR="00123FCB" w:rsidRPr="00123FCB">
        <w:rPr>
          <w:b/>
        </w:rPr>
        <w:t xml:space="preserve">risulta </w:t>
      </w:r>
      <w:r w:rsidR="008E0AEB" w:rsidRPr="00123FCB">
        <w:rPr>
          <w:b/>
        </w:rPr>
        <w:t>così significativo.</w:t>
      </w:r>
    </w:p>
    <w:p w14:paraId="60A085F0" w14:textId="77777777" w:rsidR="0096013C" w:rsidRDefault="00814627" w:rsidP="00B92367">
      <w:pPr>
        <w:jc w:val="both"/>
      </w:pPr>
      <w:r w:rsidRPr="0096013C">
        <w:rPr>
          <w:b/>
        </w:rPr>
        <w:t>Disaggregando per tipologia di impresa agricola</w:t>
      </w:r>
      <w:r w:rsidR="00123FCB" w:rsidRPr="0096013C">
        <w:rPr>
          <w:b/>
        </w:rPr>
        <w:t>,</w:t>
      </w:r>
      <w:r w:rsidRPr="0096013C">
        <w:rPr>
          <w:b/>
        </w:rPr>
        <w:t xml:space="preserve"> </w:t>
      </w:r>
      <w:r w:rsidR="00A53C47" w:rsidRPr="0096013C">
        <w:rPr>
          <w:b/>
        </w:rPr>
        <w:t>si segnalano percentuali</w:t>
      </w:r>
      <w:r w:rsidR="00692466" w:rsidRPr="0096013C">
        <w:rPr>
          <w:b/>
        </w:rPr>
        <w:t xml:space="preserve"> sempre </w:t>
      </w:r>
      <w:r w:rsidR="00A53C47" w:rsidRPr="0096013C">
        <w:rPr>
          <w:b/>
        </w:rPr>
        <w:t xml:space="preserve">superiori alla media </w:t>
      </w:r>
      <w:r w:rsidR="00692466" w:rsidRPr="0096013C">
        <w:rPr>
          <w:b/>
        </w:rPr>
        <w:t xml:space="preserve">per tutti e due i periodi e per entrambe i tipi di formazione </w:t>
      </w:r>
      <w:r w:rsidR="00123FCB" w:rsidRPr="0096013C">
        <w:rPr>
          <w:b/>
        </w:rPr>
        <w:t xml:space="preserve"> </w:t>
      </w:r>
      <w:r w:rsidR="00692466" w:rsidRPr="0096013C">
        <w:rPr>
          <w:b/>
        </w:rPr>
        <w:t>nel</w:t>
      </w:r>
      <w:r w:rsidR="00A53C47" w:rsidRPr="0096013C">
        <w:rPr>
          <w:b/>
        </w:rPr>
        <w:t>le</w:t>
      </w:r>
      <w:r w:rsidR="00692466" w:rsidRPr="0096013C">
        <w:rPr>
          <w:b/>
        </w:rPr>
        <w:t xml:space="preserve"> </w:t>
      </w:r>
      <w:r w:rsidR="00123FCB" w:rsidRPr="0096013C">
        <w:rPr>
          <w:b/>
        </w:rPr>
        <w:t>imprese di maggiori dimensioni</w:t>
      </w:r>
      <w:r w:rsidR="00692466" w:rsidRPr="0096013C">
        <w:rPr>
          <w:b/>
        </w:rPr>
        <w:t>, nelle imprese femminili, nelle le imprese localizzate in Centro Italia</w:t>
      </w:r>
      <w:r w:rsidR="0096013C" w:rsidRPr="0096013C">
        <w:rPr>
          <w:b/>
        </w:rPr>
        <w:t>.  S</w:t>
      </w:r>
      <w:r w:rsidR="00692466" w:rsidRPr="0096013C">
        <w:rPr>
          <w:b/>
        </w:rPr>
        <w:t xml:space="preserve">i tratta ancora delle tipologie di imprese agricole </w:t>
      </w:r>
      <w:r w:rsidR="0096013C" w:rsidRPr="0096013C">
        <w:rPr>
          <w:b/>
        </w:rPr>
        <w:t xml:space="preserve">che hanno che hanno investito di più e </w:t>
      </w:r>
      <w:r w:rsidR="00FE755C">
        <w:rPr>
          <w:b/>
        </w:rPr>
        <w:t xml:space="preserve">sono </w:t>
      </w:r>
      <w:r w:rsidR="0096013C" w:rsidRPr="0096013C">
        <w:rPr>
          <w:b/>
        </w:rPr>
        <w:t xml:space="preserve">maggiormente innovative: </w:t>
      </w:r>
      <w:r w:rsidR="0096013C">
        <w:rPr>
          <w:b/>
        </w:rPr>
        <w:t xml:space="preserve"> </w:t>
      </w:r>
      <w:r w:rsidR="0096013C" w:rsidRPr="0096013C">
        <w:rPr>
          <w:b/>
        </w:rPr>
        <w:t>possiamo affermare che esiste un circolo virtuoso che lega investimenti, innovazione, livello di istruzione e formazione</w:t>
      </w:r>
      <w:r w:rsidR="0096013C">
        <w:t xml:space="preserve"> </w:t>
      </w:r>
      <w:r w:rsidR="00ED520D">
        <w:t>.</w:t>
      </w:r>
      <w:r w:rsidR="00E50988">
        <w:t xml:space="preserve"> </w:t>
      </w:r>
    </w:p>
    <w:p w14:paraId="093F373C" w14:textId="77777777" w:rsidR="00750D64" w:rsidRPr="00185487" w:rsidRDefault="00ED520D" w:rsidP="00B92367">
      <w:pPr>
        <w:jc w:val="both"/>
      </w:pPr>
      <w:r w:rsidRPr="00185487">
        <w:t>P</w:t>
      </w:r>
      <w:r w:rsidR="00E50988" w:rsidRPr="00185487">
        <w:t>er quanto riguarda</w:t>
      </w:r>
      <w:r w:rsidRPr="00185487">
        <w:t>, invece,</w:t>
      </w:r>
      <w:r w:rsidR="00E50988" w:rsidRPr="00185487">
        <w:t xml:space="preserve"> le </w:t>
      </w:r>
      <w:r w:rsidR="00E50988" w:rsidRPr="00185487">
        <w:rPr>
          <w:b/>
        </w:rPr>
        <w:t>imprese giovanili</w:t>
      </w:r>
      <w:r w:rsidRPr="00185487">
        <w:rPr>
          <w:b/>
        </w:rPr>
        <w:t xml:space="preserve"> </w:t>
      </w:r>
      <w:r w:rsidRPr="00185487">
        <w:t xml:space="preserve">le percentuali sono inferiori o molto simili a quelle </w:t>
      </w:r>
      <w:r w:rsidR="00E50988" w:rsidRPr="00185487">
        <w:t xml:space="preserve"> </w:t>
      </w:r>
      <w:r w:rsidRPr="00185487">
        <w:t>del  complesso delle imprese agricole, forse perché i giovani imprenditori essendo più “freschi” di istruzione  sentono meno il bisogno di formazione per se e per i  propri dipendenti.</w:t>
      </w:r>
    </w:p>
    <w:p w14:paraId="5936B39D" w14:textId="41D3E880" w:rsidR="0071550A" w:rsidRDefault="005163DA" w:rsidP="00B92367">
      <w:pPr>
        <w:jc w:val="both"/>
      </w:pPr>
      <w:r>
        <w:t>Per l</w:t>
      </w:r>
      <w:r w:rsidR="0071550A">
        <w:t>’</w:t>
      </w:r>
      <w:r>
        <w:t>attività di formazione le imprese agricole si rivolgono in netta prevalenza alle società di formazione professionale (78%), seguono le Associazioni di Categoria e le Istituzioni territoriali (come le Camere di Commercio)(23%) e i corsi di formazione interni (20%).</w:t>
      </w:r>
      <w:r w:rsidR="0026110A">
        <w:t xml:space="preserve"> Marginale il ruolo delle Università (4%) e completamente assente il ricorso alle Business School</w:t>
      </w:r>
      <w:r w:rsidR="00185487">
        <w:t>.</w:t>
      </w:r>
    </w:p>
    <w:p w14:paraId="798B5E59" w14:textId="72AF7317" w:rsidR="008C485C" w:rsidRDefault="008C485C" w:rsidP="00B92367">
      <w:pPr>
        <w:jc w:val="both"/>
      </w:pPr>
    </w:p>
    <w:p w14:paraId="4FDF35D0" w14:textId="41203B2A" w:rsidR="008C485C" w:rsidRDefault="008C485C" w:rsidP="00B92367">
      <w:pPr>
        <w:jc w:val="both"/>
      </w:pPr>
    </w:p>
    <w:p w14:paraId="3EFD1533" w14:textId="0A73C226" w:rsidR="008C485C" w:rsidRDefault="008C485C" w:rsidP="00B92367">
      <w:pPr>
        <w:jc w:val="both"/>
      </w:pPr>
    </w:p>
    <w:p w14:paraId="15EBEF2C" w14:textId="77777777" w:rsidR="00DD51D1" w:rsidRDefault="00DD51D1" w:rsidP="00B92367">
      <w:pPr>
        <w:jc w:val="both"/>
      </w:pPr>
    </w:p>
    <w:p w14:paraId="71079264" w14:textId="491E43F3" w:rsidR="008C485C" w:rsidRPr="008C485C" w:rsidRDefault="008C485C" w:rsidP="00B92367">
      <w:pPr>
        <w:jc w:val="both"/>
        <w:rPr>
          <w:b/>
          <w:bCs/>
          <w:i/>
          <w:iCs/>
        </w:rPr>
      </w:pPr>
      <w:r w:rsidRPr="008C485C">
        <w:rPr>
          <w:b/>
          <w:bCs/>
          <w:i/>
          <w:iCs/>
        </w:rPr>
        <w:t>Soggetti che si occupano della formazione (valori%)</w:t>
      </w:r>
    </w:p>
    <w:p w14:paraId="207A8BC5" w14:textId="12874A30" w:rsidR="008C485C" w:rsidRDefault="008C485C" w:rsidP="00B92367">
      <w:pPr>
        <w:jc w:val="both"/>
      </w:pPr>
      <w:r>
        <w:rPr>
          <w:noProof/>
        </w:rPr>
        <w:drawing>
          <wp:inline distT="0" distB="0" distL="0" distR="0" wp14:anchorId="44D40894" wp14:editId="4A30810F">
            <wp:extent cx="6120130" cy="3188970"/>
            <wp:effectExtent l="0" t="0" r="0" b="0"/>
            <wp:docPr id="18" name="Grafico 18">
              <a:extLst xmlns:a="http://schemas.openxmlformats.org/drawingml/2006/main">
                <a:ext uri="{FF2B5EF4-FFF2-40B4-BE49-F238E27FC236}">
                  <a16:creationId xmlns:a16="http://schemas.microsoft.com/office/drawing/2014/main" id="{AF03BDB7-8655-AD0B-DEE6-C0EFAFAE71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B35D6DF" w14:textId="708F6C10" w:rsidR="008C485C" w:rsidRPr="008C485C" w:rsidRDefault="008C485C" w:rsidP="00B92367">
      <w:pPr>
        <w:jc w:val="both"/>
        <w:rPr>
          <w:i/>
          <w:iCs/>
          <w:sz w:val="20"/>
          <w:szCs w:val="20"/>
        </w:rPr>
      </w:pPr>
      <w:r w:rsidRPr="007E72A0">
        <w:rPr>
          <w:i/>
          <w:iCs/>
          <w:sz w:val="20"/>
          <w:szCs w:val="20"/>
        </w:rPr>
        <w:t>Fonte: Indagine Centro studi Guglielmo Tagliacarne</w:t>
      </w:r>
      <w:r w:rsidR="00766159">
        <w:rPr>
          <w:i/>
          <w:iCs/>
          <w:sz w:val="20"/>
          <w:szCs w:val="20"/>
        </w:rPr>
        <w:t>-Unioncamere</w:t>
      </w:r>
      <w:r w:rsidRPr="007E72A0">
        <w:rPr>
          <w:i/>
          <w:iCs/>
          <w:sz w:val="20"/>
          <w:szCs w:val="20"/>
        </w:rPr>
        <w:t xml:space="preserve"> 2022</w:t>
      </w:r>
      <w:r>
        <w:t xml:space="preserve">  </w:t>
      </w:r>
    </w:p>
    <w:p w14:paraId="5C20071E" w14:textId="77777777" w:rsidR="001172A0" w:rsidRDefault="00AB5162" w:rsidP="00B92367">
      <w:pPr>
        <w:jc w:val="both"/>
      </w:pPr>
      <w:r>
        <w:t xml:space="preserve">Sempre in merito all’obbiettivo di migliorare le competenze della forza lavoro della propria azienda un’altra domanda è stata posta per verificare se questo obbiettivo venga perseguito per mezzo </w:t>
      </w:r>
      <w:r w:rsidRPr="003F24E7">
        <w:rPr>
          <w:b/>
        </w:rPr>
        <w:t xml:space="preserve">dell’entrata </w:t>
      </w:r>
      <w:r w:rsidR="003F24E7" w:rsidRPr="003F24E7">
        <w:rPr>
          <w:b/>
        </w:rPr>
        <w:t>in azienda di nuovi lavoratori</w:t>
      </w:r>
      <w:r w:rsidR="003F24E7">
        <w:t xml:space="preserve"> ad elevata specializzazione. La percentuale di risposta positiva è pari a 36% si</w:t>
      </w:r>
      <w:r w:rsidR="006E38C3">
        <w:t>a per il periodo 2017-2029</w:t>
      </w:r>
      <w:r w:rsidR="003F24E7">
        <w:t xml:space="preserve"> che per quello </w:t>
      </w:r>
      <w:r w:rsidR="006E38C3">
        <w:t>2022-2024</w:t>
      </w:r>
      <w:r w:rsidR="003F24E7">
        <w:t xml:space="preserve"> </w:t>
      </w:r>
      <w:r w:rsidR="00814627">
        <w:t xml:space="preserve">, </w:t>
      </w:r>
      <w:r w:rsidR="00814627" w:rsidRPr="00814627">
        <w:rPr>
          <w:b/>
        </w:rPr>
        <w:t xml:space="preserve">molto più ridotta </w:t>
      </w:r>
      <w:r w:rsidR="00814627">
        <w:t>rispetto a quelle riguardanti la formazione</w:t>
      </w:r>
      <w:r w:rsidR="003F24E7">
        <w:t>, ma comunque s</w:t>
      </w:r>
      <w:r w:rsidR="00814627">
        <w:t xml:space="preserve">ignificativa (si tratta pur sempre </w:t>
      </w:r>
      <w:r w:rsidR="003F24E7">
        <w:t xml:space="preserve">di nuove assunzioni o di nuovi contratti con professionisti esterni) </w:t>
      </w:r>
      <w:r>
        <w:t xml:space="preserve"> </w:t>
      </w:r>
      <w:r w:rsidR="00814627">
        <w:t>e ancora leggermente superiore a quelle dichiarate delle imprese industriali (33% Pre Covid e 34% Post Covid) e di servizi (in entrambe i periodi pari a 31%).</w:t>
      </w:r>
      <w:r w:rsidR="005163DA">
        <w:t xml:space="preserve"> Come si può notare </w:t>
      </w:r>
      <w:r w:rsidR="006E38C3">
        <w:t>non ci sono differenze significative tra i due periodi Pre e Post Covid.</w:t>
      </w:r>
      <w:r w:rsidR="008E0AEB">
        <w:t xml:space="preserve"> Ancora una volta il ricorso a nuovi collaboratori ad elevata specializzazione è più frequente per le solite categorie di impresa agricola (più grandi, femminili, localizzate al Centro). </w:t>
      </w:r>
    </w:p>
    <w:p w14:paraId="53BDFCD6" w14:textId="77777777" w:rsidR="006E38C3" w:rsidRDefault="006E38C3" w:rsidP="00B92367">
      <w:pPr>
        <w:jc w:val="both"/>
      </w:pPr>
    </w:p>
    <w:p w14:paraId="3A999002" w14:textId="227BB3D0" w:rsidR="00F639B9" w:rsidRDefault="00F639B9" w:rsidP="00B92367">
      <w:pPr>
        <w:jc w:val="both"/>
      </w:pPr>
    </w:p>
    <w:p w14:paraId="7EADE91B" w14:textId="70D4BA00" w:rsidR="00E10AAB" w:rsidRDefault="00E10AAB" w:rsidP="00B92367">
      <w:pPr>
        <w:jc w:val="both"/>
      </w:pPr>
    </w:p>
    <w:p w14:paraId="2BF08252" w14:textId="44C4420E" w:rsidR="00E10AAB" w:rsidRDefault="00E10AAB" w:rsidP="00B92367">
      <w:pPr>
        <w:jc w:val="both"/>
      </w:pPr>
    </w:p>
    <w:p w14:paraId="3826EAC1" w14:textId="4808B585" w:rsidR="00E10AAB" w:rsidRDefault="00E10AAB" w:rsidP="00B92367">
      <w:pPr>
        <w:jc w:val="both"/>
      </w:pPr>
    </w:p>
    <w:p w14:paraId="11288D21" w14:textId="5BBAEE59" w:rsidR="00E10AAB" w:rsidRDefault="00E10AAB" w:rsidP="00B92367">
      <w:pPr>
        <w:jc w:val="both"/>
      </w:pPr>
    </w:p>
    <w:p w14:paraId="2D56B17D" w14:textId="71E3C420" w:rsidR="00E10AAB" w:rsidRDefault="00E10AAB" w:rsidP="00B92367">
      <w:pPr>
        <w:jc w:val="both"/>
      </w:pPr>
    </w:p>
    <w:p w14:paraId="49E7F6E9" w14:textId="01EC864B" w:rsidR="00E10AAB" w:rsidRDefault="00E10AAB" w:rsidP="00B92367">
      <w:pPr>
        <w:jc w:val="both"/>
      </w:pPr>
    </w:p>
    <w:p w14:paraId="69E88E89" w14:textId="77777777" w:rsidR="002A18ED" w:rsidRDefault="002A18ED" w:rsidP="00B92367">
      <w:pPr>
        <w:jc w:val="both"/>
      </w:pPr>
    </w:p>
    <w:p w14:paraId="303676A4" w14:textId="77777777" w:rsidR="006E38C3" w:rsidRPr="00180779" w:rsidRDefault="006E38C3" w:rsidP="00B92367">
      <w:pPr>
        <w:jc w:val="both"/>
        <w:rPr>
          <w:b/>
          <w:sz w:val="28"/>
          <w:szCs w:val="28"/>
          <w:u w:val="single"/>
        </w:rPr>
      </w:pPr>
      <w:r w:rsidRPr="00180779">
        <w:rPr>
          <w:b/>
          <w:sz w:val="28"/>
          <w:szCs w:val="28"/>
          <w:u w:val="single"/>
        </w:rPr>
        <w:t>IMPRESA 4.0</w:t>
      </w:r>
    </w:p>
    <w:p w14:paraId="62435651" w14:textId="62F82913" w:rsidR="0010382F" w:rsidRDefault="0026110A" w:rsidP="00B92367">
      <w:pPr>
        <w:jc w:val="both"/>
      </w:pPr>
      <w:r w:rsidRPr="00015A2E">
        <w:rPr>
          <w:b/>
        </w:rPr>
        <w:t>La conoscenza delle misure contenute nel Piano Nazionale Impresa 4.0  non è particolarmente diffusa tre le imprese agricole (meno di un terzo, 32%),</w:t>
      </w:r>
      <w:r w:rsidR="003E36E6" w:rsidRPr="00015A2E">
        <w:rPr>
          <w:b/>
        </w:rPr>
        <w:t xml:space="preserve"> identica a quelle dei servizi (32%), ma molto inferiore rispetto alle imprese manifatturiere (63%).</w:t>
      </w:r>
      <w:r w:rsidR="003E36E6">
        <w:t xml:space="preserve"> </w:t>
      </w:r>
      <w:r>
        <w:t xml:space="preserve">  </w:t>
      </w:r>
    </w:p>
    <w:p w14:paraId="31D01D76" w14:textId="186084AB" w:rsidR="0010382F" w:rsidRPr="0010382F" w:rsidRDefault="0010382F" w:rsidP="00B92367">
      <w:pPr>
        <w:jc w:val="both"/>
        <w:rPr>
          <w:b/>
          <w:bCs/>
          <w:i/>
          <w:iCs/>
        </w:rPr>
      </w:pPr>
      <w:r>
        <w:rPr>
          <w:b/>
          <w:bCs/>
          <w:i/>
          <w:iCs/>
        </w:rPr>
        <w:t xml:space="preserve">Imprese che conoscono le </w:t>
      </w:r>
      <w:r w:rsidRPr="0010382F">
        <w:rPr>
          <w:b/>
          <w:bCs/>
          <w:i/>
          <w:iCs/>
        </w:rPr>
        <w:t>misure del Piano Nazionale Impresa 4.0</w:t>
      </w:r>
      <w:r>
        <w:rPr>
          <w:b/>
          <w:bCs/>
          <w:i/>
          <w:iCs/>
        </w:rPr>
        <w:t xml:space="preserve"> (valori %)</w:t>
      </w:r>
    </w:p>
    <w:p w14:paraId="7B4D24EA" w14:textId="331F999C" w:rsidR="0010382F" w:rsidRDefault="0010382F" w:rsidP="00B92367">
      <w:pPr>
        <w:jc w:val="both"/>
      </w:pPr>
      <w:r>
        <w:rPr>
          <w:noProof/>
        </w:rPr>
        <w:drawing>
          <wp:inline distT="0" distB="0" distL="0" distR="0" wp14:anchorId="22982776" wp14:editId="5EC19009">
            <wp:extent cx="6067425" cy="2566670"/>
            <wp:effectExtent l="0" t="0" r="0" b="0"/>
            <wp:docPr id="19" name="Grafico 19">
              <a:extLst xmlns:a="http://schemas.openxmlformats.org/drawingml/2006/main">
                <a:ext uri="{FF2B5EF4-FFF2-40B4-BE49-F238E27FC236}">
                  <a16:creationId xmlns:a16="http://schemas.microsoft.com/office/drawing/2014/main" id="{4AB77308-4D7B-2431-C4FB-BFE5A958E2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E54C5EB" w14:textId="662F9897" w:rsidR="0010382F" w:rsidRPr="0010382F" w:rsidRDefault="0010382F" w:rsidP="00B92367">
      <w:pPr>
        <w:jc w:val="both"/>
        <w:rPr>
          <w:i/>
          <w:iCs/>
          <w:sz w:val="20"/>
          <w:szCs w:val="20"/>
        </w:rPr>
      </w:pPr>
      <w:r w:rsidRPr="007E72A0">
        <w:rPr>
          <w:i/>
          <w:iCs/>
          <w:sz w:val="20"/>
          <w:szCs w:val="20"/>
        </w:rPr>
        <w:t>Fonte: Indagine Centro studi Guglielmo Tagliacarne</w:t>
      </w:r>
      <w:r w:rsidR="00766159">
        <w:rPr>
          <w:i/>
          <w:iCs/>
          <w:sz w:val="20"/>
          <w:szCs w:val="20"/>
        </w:rPr>
        <w:t>-Unioncamere</w:t>
      </w:r>
      <w:r w:rsidRPr="007E72A0">
        <w:rPr>
          <w:i/>
          <w:iCs/>
          <w:sz w:val="20"/>
          <w:szCs w:val="20"/>
        </w:rPr>
        <w:t xml:space="preserve"> 2022</w:t>
      </w:r>
      <w:r>
        <w:t xml:space="preserve">  </w:t>
      </w:r>
    </w:p>
    <w:p w14:paraId="5CAE24A2" w14:textId="77777777" w:rsidR="0026110A" w:rsidRDefault="00123C24" w:rsidP="00B92367">
      <w:pPr>
        <w:jc w:val="both"/>
      </w:pPr>
      <w:r>
        <w:t xml:space="preserve">Sono ancora le </w:t>
      </w:r>
      <w:r w:rsidRPr="00123C24">
        <w:rPr>
          <w:b/>
        </w:rPr>
        <w:t>imprese di maggiori dimensioni</w:t>
      </w:r>
      <w:r>
        <w:t xml:space="preserve"> a dichiarare una maggiore conoscenza di queste misure (43% le imprese tra i 10 e i 49 addetti e 41% per quelle oltre i 50 addetti) e le </w:t>
      </w:r>
      <w:r w:rsidRPr="00123C24">
        <w:rPr>
          <w:b/>
        </w:rPr>
        <w:t>imprese femminili</w:t>
      </w:r>
      <w:r>
        <w:t xml:space="preserve"> (39%), mentre per quanto riguarda la localizzazione sono </w:t>
      </w:r>
      <w:r w:rsidRPr="00123C24">
        <w:rPr>
          <w:b/>
        </w:rPr>
        <w:t>le imprese del Nord-ovest</w:t>
      </w:r>
      <w:r w:rsidR="005D4E32">
        <w:t xml:space="preserve">  quelle più informate</w:t>
      </w:r>
      <w:r>
        <w:t xml:space="preserve"> </w:t>
      </w:r>
      <w:r w:rsidR="005D4E32">
        <w:t>(40,3%). Le percentuali più basse si registrano invece per il settore della Silvicoltura (22%) e della Pesca (24%)</w:t>
      </w:r>
      <w:r w:rsidR="006F07D5">
        <w:t>.</w:t>
      </w:r>
    </w:p>
    <w:p w14:paraId="1FC04973" w14:textId="1DD473AB" w:rsidR="0058725A" w:rsidRPr="00185487" w:rsidRDefault="006F07D5" w:rsidP="00B92367">
      <w:pPr>
        <w:jc w:val="both"/>
      </w:pPr>
      <w:r>
        <w:t xml:space="preserve">Alle aziende che hanno risposto di essere informate è stata posta </w:t>
      </w:r>
      <w:r w:rsidR="00015A2E">
        <w:t xml:space="preserve">la domanda se abbiano adottato </w:t>
      </w:r>
      <w:r>
        <w:t>tecnologie digitali 4.0 nei tre diversi periodi Pre Covid, durante il Covid e Post Covid</w:t>
      </w:r>
      <w:r w:rsidRPr="00F042B8">
        <w:rPr>
          <w:b/>
        </w:rPr>
        <w:t xml:space="preserve">.  Nel primo periodo 2017-2019 sono poche le aziende che hanno introdotto tecnologie digitali 4.0 </w:t>
      </w:r>
      <w:r w:rsidR="0098412B">
        <w:rPr>
          <w:b/>
        </w:rPr>
        <w:t>(</w:t>
      </w:r>
      <w:r w:rsidR="00E10AAB">
        <w:rPr>
          <w:b/>
        </w:rPr>
        <w:t>4</w:t>
      </w:r>
      <w:r w:rsidR="0098412B">
        <w:rPr>
          <w:b/>
        </w:rPr>
        <w:t>%</w:t>
      </w:r>
      <w:r w:rsidR="00A04329" w:rsidRPr="00F042B8">
        <w:rPr>
          <w:b/>
        </w:rPr>
        <w:t xml:space="preserve"> contro</w:t>
      </w:r>
      <w:r w:rsidR="00953DFF">
        <w:rPr>
          <w:b/>
        </w:rPr>
        <w:t xml:space="preserve"> </w:t>
      </w:r>
      <w:r w:rsidR="00953DFF" w:rsidRPr="00F042B8">
        <w:rPr>
          <w:b/>
        </w:rPr>
        <w:t>il 9% delle imprese di servizi</w:t>
      </w:r>
      <w:r w:rsidR="00953DFF">
        <w:rPr>
          <w:b/>
        </w:rPr>
        <w:t xml:space="preserve"> e</w:t>
      </w:r>
      <w:r w:rsidR="00A04329" w:rsidRPr="00F042B8">
        <w:rPr>
          <w:b/>
        </w:rPr>
        <w:t xml:space="preserve"> il 2</w:t>
      </w:r>
      <w:r w:rsidR="00E10AAB">
        <w:rPr>
          <w:b/>
        </w:rPr>
        <w:t>6</w:t>
      </w:r>
      <w:r w:rsidR="00A04329" w:rsidRPr="00F042B8">
        <w:rPr>
          <w:b/>
        </w:rPr>
        <w:t>% delle imprese industriali</w:t>
      </w:r>
      <w:r w:rsidRPr="00F042B8">
        <w:rPr>
          <w:b/>
        </w:rPr>
        <w:t>)</w:t>
      </w:r>
      <w:r w:rsidR="00A04329">
        <w:t xml:space="preserve">, </w:t>
      </w:r>
      <w:r w:rsidR="00A04329" w:rsidRPr="00185487">
        <w:t xml:space="preserve">ma bisogna considerare che solo con il  passaggio da Industria 4.0 a Impresa 4.0 nel 2019 le imprese agricole </w:t>
      </w:r>
      <w:r w:rsidR="005A3B6F" w:rsidRPr="00185487">
        <w:t xml:space="preserve">( e molte </w:t>
      </w:r>
      <w:r w:rsidR="00A04329" w:rsidRPr="00185487">
        <w:t xml:space="preserve"> di quelle di servizio) sono state ammesse a questo tipo di contributi. </w:t>
      </w:r>
    </w:p>
    <w:p w14:paraId="2ECE7827" w14:textId="303AA578" w:rsidR="0058725A" w:rsidRDefault="00A04329" w:rsidP="00B92367">
      <w:pPr>
        <w:jc w:val="both"/>
      </w:pPr>
      <w:r w:rsidRPr="00F042B8">
        <w:rPr>
          <w:b/>
        </w:rPr>
        <w:t>Durante il Covid</w:t>
      </w:r>
      <w:r>
        <w:t xml:space="preserve"> (2020-2021, </w:t>
      </w:r>
      <w:r w:rsidRPr="00185487">
        <w:t>i primi anni  di Impresa</w:t>
      </w:r>
      <w:r w:rsidRPr="00F042B8">
        <w:rPr>
          <w:i/>
        </w:rPr>
        <w:t xml:space="preserve"> 4.0</w:t>
      </w:r>
      <w:r>
        <w:t xml:space="preserve">) </w:t>
      </w:r>
      <w:r w:rsidRPr="00F042B8">
        <w:rPr>
          <w:b/>
        </w:rPr>
        <w:t xml:space="preserve">l’introduzione di tecnologie digitali </w:t>
      </w:r>
      <w:r w:rsidR="00F911B8" w:rsidRPr="00F042B8">
        <w:rPr>
          <w:b/>
        </w:rPr>
        <w:t xml:space="preserve">4.0 </w:t>
      </w:r>
      <w:r w:rsidRPr="00F042B8">
        <w:rPr>
          <w:b/>
        </w:rPr>
        <w:t>fa registrare u</w:t>
      </w:r>
      <w:r w:rsidR="00E10AAB">
        <w:rPr>
          <w:b/>
        </w:rPr>
        <w:t>na forte crescita</w:t>
      </w:r>
      <w:r w:rsidRPr="00F042B8">
        <w:rPr>
          <w:b/>
        </w:rPr>
        <w:t xml:space="preserve">: </w:t>
      </w:r>
      <w:r w:rsidR="00F911B8" w:rsidRPr="00F042B8">
        <w:rPr>
          <w:b/>
        </w:rPr>
        <w:t xml:space="preserve"> </w:t>
      </w:r>
      <w:r w:rsidR="00E10AAB">
        <w:rPr>
          <w:b/>
        </w:rPr>
        <w:t xml:space="preserve">il 20% </w:t>
      </w:r>
      <w:r w:rsidR="00F911B8" w:rsidRPr="00F042B8">
        <w:rPr>
          <w:b/>
        </w:rPr>
        <w:t>delle imprese intervistate dichiara di averle adottate nella propria azienda</w:t>
      </w:r>
      <w:r w:rsidR="00E10AAB">
        <w:rPr>
          <w:b/>
        </w:rPr>
        <w:t>,</w:t>
      </w:r>
      <w:r w:rsidR="00E10AAB" w:rsidRPr="00E10AAB">
        <w:rPr>
          <w:b/>
        </w:rPr>
        <w:t xml:space="preserve"> </w:t>
      </w:r>
      <w:r w:rsidR="00E10AAB" w:rsidRPr="00F042B8">
        <w:rPr>
          <w:b/>
        </w:rPr>
        <w:t>percentuale molto superiore a quella delle imprese terziarie (14%)</w:t>
      </w:r>
      <w:r w:rsidR="00E10AAB">
        <w:t xml:space="preserve">, </w:t>
      </w:r>
      <w:r w:rsidR="00E10AAB">
        <w:rPr>
          <w:b/>
        </w:rPr>
        <w:t xml:space="preserve">ma inferiore a quella </w:t>
      </w:r>
      <w:r w:rsidR="00F911B8" w:rsidRPr="00F042B8">
        <w:rPr>
          <w:b/>
        </w:rPr>
        <w:t>delle imprese manifatturiere (38%)</w:t>
      </w:r>
      <w:r w:rsidR="00E10AAB">
        <w:rPr>
          <w:b/>
        </w:rPr>
        <w:t xml:space="preserve">. </w:t>
      </w:r>
    </w:p>
    <w:p w14:paraId="58636A68" w14:textId="4AD5929C" w:rsidR="00E10AAB" w:rsidRDefault="00E664A2" w:rsidP="00B92367">
      <w:pPr>
        <w:jc w:val="both"/>
        <w:rPr>
          <w:b/>
          <w:i/>
        </w:rPr>
      </w:pPr>
      <w:r w:rsidRPr="00F042B8">
        <w:rPr>
          <w:b/>
        </w:rPr>
        <w:t>Ancora in aumento la frequenza delle imprese agricole che dichiarano di  voler</w:t>
      </w:r>
      <w:r w:rsidR="00465A7E">
        <w:rPr>
          <w:b/>
        </w:rPr>
        <w:t>l</w:t>
      </w:r>
      <w:r w:rsidRPr="00F042B8">
        <w:rPr>
          <w:b/>
        </w:rPr>
        <w:t>e introdurre nella propria azienda nel periodo Post Covid  2022-2024 (</w:t>
      </w:r>
      <w:r w:rsidR="00E10AAB">
        <w:rPr>
          <w:b/>
        </w:rPr>
        <w:t>23</w:t>
      </w:r>
      <w:r w:rsidRPr="00F042B8">
        <w:rPr>
          <w:b/>
        </w:rPr>
        <w:t>%)</w:t>
      </w:r>
      <w:r w:rsidR="002A2656" w:rsidRPr="00F042B8">
        <w:rPr>
          <w:b/>
        </w:rPr>
        <w:t>, a testimonianza dell’ottima capacità di reazione alla Pandemia del settore agricolo, ben superiore a quella</w:t>
      </w:r>
      <w:r w:rsidR="00E10AAB">
        <w:rPr>
          <w:b/>
        </w:rPr>
        <w:t xml:space="preserve"> </w:t>
      </w:r>
      <w:r w:rsidR="00E10AAB" w:rsidRPr="00F042B8">
        <w:rPr>
          <w:b/>
        </w:rPr>
        <w:t>d</w:t>
      </w:r>
      <w:r w:rsidR="00E10AAB">
        <w:rPr>
          <w:b/>
        </w:rPr>
        <w:t>elle imprese dei</w:t>
      </w:r>
      <w:r w:rsidR="00E10AAB" w:rsidRPr="00F042B8">
        <w:rPr>
          <w:b/>
        </w:rPr>
        <w:t xml:space="preserve"> servizi (17%)</w:t>
      </w:r>
      <w:r w:rsidR="00E10AAB">
        <w:rPr>
          <w:b/>
        </w:rPr>
        <w:t>, ma sempre inferiore</w:t>
      </w:r>
      <w:r w:rsidR="002A2656" w:rsidRPr="00F042B8">
        <w:rPr>
          <w:b/>
        </w:rPr>
        <w:t xml:space="preserve"> delle imprese industriali</w:t>
      </w:r>
      <w:r w:rsidR="00E10AAB">
        <w:rPr>
          <w:b/>
        </w:rPr>
        <w:t xml:space="preserve"> </w:t>
      </w:r>
      <w:r w:rsidR="002A2656" w:rsidRPr="00F042B8">
        <w:rPr>
          <w:b/>
        </w:rPr>
        <w:t xml:space="preserve"> (4</w:t>
      </w:r>
      <w:r w:rsidR="00E10AAB">
        <w:rPr>
          <w:b/>
        </w:rPr>
        <w:t xml:space="preserve">3%). </w:t>
      </w:r>
      <w:r w:rsidR="00E10AAB" w:rsidRPr="00E10AAB">
        <w:rPr>
          <w:bCs/>
        </w:rPr>
        <w:t xml:space="preserve">Le </w:t>
      </w:r>
      <w:r w:rsidR="0058725A">
        <w:t>differenze in base alle diverse tipologie di impresa agricola ricalcano esattamente quelle già riscontrate nel periodo della Pandemia</w:t>
      </w:r>
      <w:r w:rsidR="00F042B8">
        <w:t xml:space="preserve"> </w:t>
      </w:r>
      <w:r w:rsidR="00B66F5D">
        <w:rPr>
          <w:b/>
          <w:i/>
        </w:rPr>
        <w:t>.</w:t>
      </w:r>
    </w:p>
    <w:p w14:paraId="7E6659DD" w14:textId="77777777" w:rsidR="00E10AAB" w:rsidRDefault="00E10AAB" w:rsidP="00B92367">
      <w:pPr>
        <w:jc w:val="both"/>
        <w:rPr>
          <w:b/>
          <w:i/>
        </w:rPr>
      </w:pPr>
    </w:p>
    <w:p w14:paraId="4009D57B" w14:textId="269AA7FF" w:rsidR="009E3C56" w:rsidRDefault="009E3C56" w:rsidP="00B92367">
      <w:pPr>
        <w:jc w:val="both"/>
        <w:rPr>
          <w:b/>
          <w:i/>
        </w:rPr>
      </w:pPr>
      <w:r>
        <w:rPr>
          <w:b/>
          <w:i/>
        </w:rPr>
        <w:t>Imprese che hanno adottato tecnologie 4.0 (valori%)</w:t>
      </w:r>
    </w:p>
    <w:p w14:paraId="7C146C73" w14:textId="31569C5B" w:rsidR="009E3C56" w:rsidRDefault="00E10AAB" w:rsidP="00B92367">
      <w:pPr>
        <w:jc w:val="both"/>
        <w:rPr>
          <w:b/>
          <w:iCs/>
        </w:rPr>
      </w:pPr>
      <w:r>
        <w:rPr>
          <w:noProof/>
        </w:rPr>
        <w:drawing>
          <wp:inline distT="0" distB="0" distL="0" distR="0" wp14:anchorId="62B923A7" wp14:editId="3D0B7413">
            <wp:extent cx="6120130" cy="3000375"/>
            <wp:effectExtent l="0" t="0" r="0" b="0"/>
            <wp:docPr id="35" name="Grafico 35">
              <a:extLst xmlns:a="http://schemas.openxmlformats.org/drawingml/2006/main">
                <a:ext uri="{FF2B5EF4-FFF2-40B4-BE49-F238E27FC236}">
                  <a16:creationId xmlns:a16="http://schemas.microsoft.com/office/drawing/2014/main" id="{8CCBCB87-6A5F-4801-82E3-768FA6203A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A72403A" w14:textId="69182B6C" w:rsidR="009E3C56" w:rsidRPr="009E3C56" w:rsidRDefault="009E3C56" w:rsidP="00B92367">
      <w:pPr>
        <w:jc w:val="both"/>
        <w:rPr>
          <w:i/>
          <w:iCs/>
          <w:sz w:val="20"/>
          <w:szCs w:val="20"/>
        </w:rPr>
      </w:pPr>
      <w:r w:rsidRPr="007E72A0">
        <w:rPr>
          <w:i/>
          <w:iCs/>
          <w:sz w:val="20"/>
          <w:szCs w:val="20"/>
        </w:rPr>
        <w:t>Fonte: Indagine Centro studi Guglielmo Tagliacarne</w:t>
      </w:r>
      <w:r w:rsidR="00766159">
        <w:rPr>
          <w:i/>
          <w:iCs/>
          <w:sz w:val="20"/>
          <w:szCs w:val="20"/>
        </w:rPr>
        <w:t>-Unioncamere</w:t>
      </w:r>
      <w:r w:rsidRPr="007E72A0">
        <w:rPr>
          <w:i/>
          <w:iCs/>
          <w:sz w:val="20"/>
          <w:szCs w:val="20"/>
        </w:rPr>
        <w:t xml:space="preserve"> 2022</w:t>
      </w:r>
      <w:r>
        <w:t xml:space="preserve">  </w:t>
      </w:r>
    </w:p>
    <w:p w14:paraId="141B936B" w14:textId="29ACA5FC" w:rsidR="009D0FD3" w:rsidRDefault="009D0FD3" w:rsidP="00B92367">
      <w:pPr>
        <w:jc w:val="both"/>
      </w:pPr>
      <w:r>
        <w:t>Nel  commentare questi dati bisogna</w:t>
      </w:r>
      <w:r w:rsidR="00B477DA">
        <w:t>,</w:t>
      </w:r>
      <w:r>
        <w:t xml:space="preserve"> però</w:t>
      </w:r>
      <w:r w:rsidR="00B477DA">
        <w:t>,</w:t>
      </w:r>
      <w:r>
        <w:t xml:space="preserve"> considerare il </w:t>
      </w:r>
      <w:r w:rsidRPr="009D0FD3">
        <w:rPr>
          <w:b/>
        </w:rPr>
        <w:t>forte digital divide che penalizza le imprese agricole italiane</w:t>
      </w:r>
      <w:r>
        <w:t>: dal 7° Censimento Agricoltura Istat emerge che solo il 16% usa il computer o altre attrezzature informatiche o digitali per fini aziendali,  anche se questa quota risulta quadruplicata rispetto al 2010.</w:t>
      </w:r>
    </w:p>
    <w:p w14:paraId="5F6875F5" w14:textId="37504A61" w:rsidR="00052350" w:rsidRPr="00052350" w:rsidRDefault="00052350" w:rsidP="00B92367">
      <w:pPr>
        <w:jc w:val="both"/>
      </w:pPr>
      <w:r>
        <w:t xml:space="preserve">Tra le imprese che investiranno in tecnologie 4.0 nel </w:t>
      </w:r>
      <w:r w:rsidR="00A01BA5">
        <w:t>periodo</w:t>
      </w:r>
      <w:r>
        <w:t xml:space="preserve"> 2022-2024 il </w:t>
      </w:r>
      <w:r w:rsidRPr="00052350">
        <w:rPr>
          <w:b/>
          <w:bCs/>
        </w:rPr>
        <w:t>25%</w:t>
      </w:r>
      <w:r>
        <w:t xml:space="preserve"> investirà in </w:t>
      </w:r>
      <w:r w:rsidRPr="00052350">
        <w:rPr>
          <w:b/>
          <w:bCs/>
        </w:rPr>
        <w:t>simulazione fra macchine connesse per ottimizzare i processi produttivi</w:t>
      </w:r>
      <w:r>
        <w:t xml:space="preserve">, il </w:t>
      </w:r>
      <w:r w:rsidRPr="00052350">
        <w:rPr>
          <w:b/>
          <w:bCs/>
        </w:rPr>
        <w:t>16%</w:t>
      </w:r>
      <w:r>
        <w:t xml:space="preserve"> in </w:t>
      </w:r>
      <w:r w:rsidRPr="00052350">
        <w:rPr>
          <w:b/>
          <w:bCs/>
        </w:rPr>
        <w:t>integrazione orizzontale e verticale di filiera</w:t>
      </w:r>
      <w:r>
        <w:t xml:space="preserve">, </w:t>
      </w:r>
      <w:r w:rsidRPr="00052350">
        <w:rPr>
          <w:b/>
          <w:bCs/>
        </w:rPr>
        <w:t xml:space="preserve">l’11% </w:t>
      </w:r>
      <w:r>
        <w:t xml:space="preserve">in </w:t>
      </w:r>
      <w:r w:rsidRPr="00052350">
        <w:rPr>
          <w:b/>
          <w:bCs/>
        </w:rPr>
        <w:t>Big data</w:t>
      </w:r>
      <w:r w:rsidRPr="00052350">
        <w:t>,</w:t>
      </w:r>
      <w:r w:rsidRPr="00052350">
        <w:rPr>
          <w:b/>
          <w:bCs/>
        </w:rPr>
        <w:t xml:space="preserve"> 9,4% </w:t>
      </w:r>
      <w:r>
        <w:t xml:space="preserve">in </w:t>
      </w:r>
      <w:r w:rsidRPr="00052350">
        <w:rPr>
          <w:b/>
          <w:bCs/>
        </w:rPr>
        <w:t>machine learning</w:t>
      </w:r>
      <w:r>
        <w:rPr>
          <w:b/>
          <w:bCs/>
        </w:rPr>
        <w:t xml:space="preserve"> </w:t>
      </w:r>
      <w:r>
        <w:t xml:space="preserve">, il </w:t>
      </w:r>
      <w:r w:rsidRPr="00052350">
        <w:rPr>
          <w:b/>
          <w:bCs/>
        </w:rPr>
        <w:t>7%</w:t>
      </w:r>
      <w:r>
        <w:t xml:space="preserve"> in </w:t>
      </w:r>
      <w:r w:rsidRPr="00052350">
        <w:rPr>
          <w:b/>
          <w:bCs/>
        </w:rPr>
        <w:t>Cloud computing</w:t>
      </w:r>
      <w:r>
        <w:t xml:space="preserve">, il </w:t>
      </w:r>
      <w:r w:rsidRPr="00052350">
        <w:rPr>
          <w:b/>
          <w:bCs/>
        </w:rPr>
        <w:t>5%</w:t>
      </w:r>
      <w:r>
        <w:rPr>
          <w:b/>
          <w:bCs/>
        </w:rPr>
        <w:t xml:space="preserve"> </w:t>
      </w:r>
      <w:r w:rsidRPr="00052350">
        <w:t xml:space="preserve">in </w:t>
      </w:r>
      <w:r w:rsidRPr="00052350">
        <w:rPr>
          <w:b/>
          <w:bCs/>
        </w:rPr>
        <w:t>internet of things</w:t>
      </w:r>
      <w:r>
        <w:t xml:space="preserve"> e </w:t>
      </w:r>
      <w:r w:rsidRPr="00052350">
        <w:rPr>
          <w:b/>
          <w:bCs/>
        </w:rPr>
        <w:t>Robotica</w:t>
      </w:r>
      <w:r w:rsidRPr="00052350">
        <w:t>,</w:t>
      </w:r>
      <w:r>
        <w:t xml:space="preserve"> il </w:t>
      </w:r>
      <w:r w:rsidRPr="00052350">
        <w:rPr>
          <w:b/>
          <w:bCs/>
        </w:rPr>
        <w:t>3%</w:t>
      </w:r>
      <w:r>
        <w:t xml:space="preserve"> in </w:t>
      </w:r>
      <w:r w:rsidRPr="00052350">
        <w:rPr>
          <w:b/>
          <w:bCs/>
        </w:rPr>
        <w:t>Cyber security</w:t>
      </w:r>
      <w:r>
        <w:t xml:space="preserve">, </w:t>
      </w:r>
      <w:r w:rsidR="00A01BA5">
        <w:t xml:space="preserve">il </w:t>
      </w:r>
      <w:r w:rsidR="00A01BA5" w:rsidRPr="00A01BA5">
        <w:rPr>
          <w:b/>
          <w:bCs/>
        </w:rPr>
        <w:t>2%</w:t>
      </w:r>
      <w:r w:rsidR="00A01BA5">
        <w:t xml:space="preserve"> in </w:t>
      </w:r>
      <w:r w:rsidR="00A01BA5" w:rsidRPr="000E4B67">
        <w:rPr>
          <w:b/>
          <w:bCs/>
        </w:rPr>
        <w:t>blockchain</w:t>
      </w:r>
      <w:r w:rsidR="000E4B67">
        <w:t xml:space="preserve"> e</w:t>
      </w:r>
      <w:r w:rsidR="00A01BA5">
        <w:t xml:space="preserve"> circa l’1% in stampanti 3D, realtà aumentata e intelligenza artificiale.</w:t>
      </w:r>
    </w:p>
    <w:p w14:paraId="2D3D9740" w14:textId="2EE0396F" w:rsidR="00052350" w:rsidRDefault="00052350" w:rsidP="00B92367">
      <w:pPr>
        <w:jc w:val="both"/>
      </w:pPr>
    </w:p>
    <w:p w14:paraId="6B08203A" w14:textId="31C94729" w:rsidR="00052350" w:rsidRDefault="00052350" w:rsidP="00B92367">
      <w:pPr>
        <w:jc w:val="both"/>
      </w:pPr>
    </w:p>
    <w:p w14:paraId="11BBAD90" w14:textId="67FE3398" w:rsidR="00052350" w:rsidRDefault="00052350" w:rsidP="00B92367">
      <w:pPr>
        <w:jc w:val="both"/>
      </w:pPr>
    </w:p>
    <w:p w14:paraId="1E0E3699" w14:textId="22514009" w:rsidR="00052350" w:rsidRDefault="00052350" w:rsidP="00B92367">
      <w:pPr>
        <w:jc w:val="both"/>
      </w:pPr>
    </w:p>
    <w:p w14:paraId="22125271" w14:textId="33F1833B" w:rsidR="00052350" w:rsidRDefault="00052350" w:rsidP="00B92367">
      <w:pPr>
        <w:jc w:val="both"/>
      </w:pPr>
    </w:p>
    <w:p w14:paraId="53444187" w14:textId="7C92C2BD" w:rsidR="00052350" w:rsidRDefault="00052350" w:rsidP="00B92367">
      <w:pPr>
        <w:jc w:val="both"/>
      </w:pPr>
    </w:p>
    <w:p w14:paraId="2545BFAD" w14:textId="7FD722CA" w:rsidR="00052350" w:rsidRDefault="00052350" w:rsidP="00B92367">
      <w:pPr>
        <w:jc w:val="both"/>
      </w:pPr>
    </w:p>
    <w:p w14:paraId="7B5EA281" w14:textId="788D2A44" w:rsidR="00052350" w:rsidRDefault="00052350" w:rsidP="00B92367">
      <w:pPr>
        <w:jc w:val="both"/>
      </w:pPr>
    </w:p>
    <w:p w14:paraId="26ECA4FC" w14:textId="37926268" w:rsidR="00052350" w:rsidRDefault="00052350" w:rsidP="00B92367">
      <w:pPr>
        <w:jc w:val="both"/>
      </w:pPr>
    </w:p>
    <w:p w14:paraId="05D5F1A6" w14:textId="77777777" w:rsidR="00E10AAB" w:rsidRDefault="00E10AAB" w:rsidP="00B92367">
      <w:pPr>
        <w:jc w:val="both"/>
      </w:pPr>
    </w:p>
    <w:p w14:paraId="2040398E" w14:textId="74EDFAFF" w:rsidR="00052350" w:rsidRPr="00052350" w:rsidRDefault="00052350" w:rsidP="00B92367">
      <w:pPr>
        <w:jc w:val="both"/>
        <w:rPr>
          <w:b/>
          <w:i/>
        </w:rPr>
      </w:pPr>
      <w:r>
        <w:rPr>
          <w:b/>
          <w:i/>
        </w:rPr>
        <w:t>Tecnologie più rilevanti per le imprese adotteranno tecnologie 4.0</w:t>
      </w:r>
      <w:r w:rsidR="00A01BA5">
        <w:rPr>
          <w:b/>
          <w:i/>
        </w:rPr>
        <w:t xml:space="preserve"> nel periodo 2022-2024</w:t>
      </w:r>
      <w:r>
        <w:rPr>
          <w:b/>
          <w:i/>
        </w:rPr>
        <w:t xml:space="preserve"> (valori%)</w:t>
      </w:r>
    </w:p>
    <w:p w14:paraId="190D7903" w14:textId="72B0EC21" w:rsidR="00052350" w:rsidRPr="009D0FD3" w:rsidRDefault="00052350" w:rsidP="00B92367">
      <w:pPr>
        <w:jc w:val="both"/>
      </w:pPr>
      <w:r>
        <w:rPr>
          <w:noProof/>
        </w:rPr>
        <w:drawing>
          <wp:inline distT="0" distB="0" distL="0" distR="0" wp14:anchorId="085FA1C2" wp14:editId="57CD3504">
            <wp:extent cx="5944871" cy="5724842"/>
            <wp:effectExtent l="0" t="0" r="0" b="0"/>
            <wp:docPr id="25" name="Grafico 25">
              <a:extLst xmlns:a="http://schemas.openxmlformats.org/drawingml/2006/main">
                <a:ext uri="{FF2B5EF4-FFF2-40B4-BE49-F238E27FC236}">
                  <a16:creationId xmlns:a16="http://schemas.microsoft.com/office/drawing/2014/main" id="{061C1FBC-DC12-50F6-6C4A-4A094160E8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857E3B1" w14:textId="7E9FA195" w:rsidR="00E10AAB" w:rsidRPr="00E10AAB" w:rsidRDefault="00E10AAB" w:rsidP="00B92367">
      <w:pPr>
        <w:jc w:val="both"/>
        <w:rPr>
          <w:i/>
          <w:iCs/>
          <w:sz w:val="20"/>
          <w:szCs w:val="20"/>
        </w:rPr>
      </w:pPr>
      <w:r>
        <w:rPr>
          <w:i/>
          <w:iCs/>
          <w:sz w:val="20"/>
          <w:szCs w:val="20"/>
        </w:rPr>
        <w:t>*Domanda a risposta multipla</w:t>
      </w:r>
      <w:r>
        <w:t xml:space="preserve">   </w:t>
      </w:r>
    </w:p>
    <w:p w14:paraId="182DF225" w14:textId="3B41DA13" w:rsidR="00D910ED" w:rsidRDefault="00B66F5D" w:rsidP="00B92367">
      <w:pPr>
        <w:jc w:val="both"/>
      </w:pPr>
      <w:r>
        <w:t>Alle imprese che hanno già introdotto innovazioni digitali legat</w:t>
      </w:r>
      <w:r w:rsidR="00D75520">
        <w:t xml:space="preserve">e a Impresa 4.0 è stato chiesto in che modo </w:t>
      </w:r>
      <w:r>
        <w:t xml:space="preserve"> queste abbiano </w:t>
      </w:r>
      <w:r w:rsidRPr="00657591">
        <w:rPr>
          <w:b/>
        </w:rPr>
        <w:t>cambiato il modello di business</w:t>
      </w:r>
      <w:r>
        <w:t xml:space="preserve"> della propria azienda</w:t>
      </w:r>
      <w:r w:rsidR="00D75520">
        <w:t xml:space="preserve">. </w:t>
      </w:r>
      <w:r>
        <w:t xml:space="preserve"> </w:t>
      </w:r>
      <w:r w:rsidR="00D75520">
        <w:t xml:space="preserve">La risposta  che ha fatto registrare la frequenza nettamente più elevata (83%) è il </w:t>
      </w:r>
      <w:r w:rsidR="00D75520" w:rsidRPr="00657591">
        <w:rPr>
          <w:b/>
        </w:rPr>
        <w:t>miglioramento dell’efficienza  produttiva</w:t>
      </w:r>
      <w:r w:rsidR="00D75520">
        <w:t xml:space="preserve"> (in termini di aumento della produttività, risparmio energetico, maggiore controllo e monitoraggio dei processi produttivi</w:t>
      </w:r>
      <w:r w:rsidR="00657591">
        <w:t>, minori costi di magazzinaggio, logistica ecc.); non si segnalano particolari differenzia</w:t>
      </w:r>
      <w:r w:rsidR="00BF540C">
        <w:t>zioni</w:t>
      </w:r>
      <w:r w:rsidR="00657591">
        <w:t xml:space="preserve"> tre le diverse tipologie di imprese, se si eccettuano percentuali molto inferiori alla media per le imprese della Pesca (68%) e per quelle con più di 50 addetti (65%) da una parte  e il </w:t>
      </w:r>
      <w:r w:rsidR="00C74D82">
        <w:t xml:space="preserve"> 100% di risposte positive delle imprese femminili </w:t>
      </w:r>
      <w:r w:rsidR="00BC7EF1">
        <w:t>e il 91% di quelle tra 10 e i 49 addetti,</w:t>
      </w:r>
      <w:r w:rsidR="00C74D82">
        <w:t xml:space="preserve"> </w:t>
      </w:r>
      <w:r w:rsidR="00C74D82" w:rsidRPr="00C74D82">
        <w:t>dall’altra</w:t>
      </w:r>
      <w:r w:rsidR="00C74D82">
        <w:t xml:space="preserve">. Al secondo posto troviamo la </w:t>
      </w:r>
      <w:r w:rsidR="00C74D82" w:rsidRPr="00C74D82">
        <w:rPr>
          <w:b/>
        </w:rPr>
        <w:t>qualificazione della forza lavoro</w:t>
      </w:r>
      <w:r w:rsidR="00C74D82">
        <w:t xml:space="preserve"> (entrata di nuovi lavoratori con competenze elevate, riqualificazione dei lavoratori di più bassa profilo e anziani, formazione su competenze digitali, nuovi metodi e organizzazione del lavoro ecc. ; 63%</w:t>
      </w:r>
      <w:r w:rsidR="00BF540C">
        <w:t>); s</w:t>
      </w:r>
      <w:r w:rsidR="00A24F74">
        <w:t xml:space="preserve">eguono, in ordine di frequenza,  </w:t>
      </w:r>
      <w:r w:rsidR="00A24F74" w:rsidRPr="00A24F74">
        <w:rPr>
          <w:b/>
        </w:rPr>
        <w:t>l’ampliamento dell’offerta di beni</w:t>
      </w:r>
      <w:r w:rsidR="00A24F74">
        <w:t xml:space="preserve">  (58%), il </w:t>
      </w:r>
      <w:r w:rsidR="00A24F74" w:rsidRPr="00A24F74">
        <w:rPr>
          <w:b/>
        </w:rPr>
        <w:t>rafforzamento delle relazioni di filiera</w:t>
      </w:r>
      <w:r w:rsidR="00A24F74">
        <w:t xml:space="preserve"> (52%), </w:t>
      </w:r>
      <w:r w:rsidR="00C92FC9">
        <w:t xml:space="preserve"> </w:t>
      </w:r>
      <w:r w:rsidR="00C92FC9" w:rsidRPr="00C92FC9">
        <w:rPr>
          <w:b/>
        </w:rPr>
        <w:t>la servitizzazione</w:t>
      </w:r>
      <w:r w:rsidR="00C92FC9">
        <w:t xml:space="preserve"> (prodotti dell’impresa resi disponibili con modelli di business alternativi per offrire anche servizi  collegati al prodotto; 50%), </w:t>
      </w:r>
      <w:r w:rsidR="00C92FC9" w:rsidRPr="00C92FC9">
        <w:rPr>
          <w:b/>
        </w:rPr>
        <w:t>l’accesso a nuovi mercati</w:t>
      </w:r>
      <w:r w:rsidR="00C92FC9">
        <w:t xml:space="preserve"> (compreso l’e-commerce; 47%) e, all’ultimo posto </w:t>
      </w:r>
      <w:r w:rsidR="00BF540C">
        <w:t xml:space="preserve">lo </w:t>
      </w:r>
      <w:r w:rsidR="00BF540C" w:rsidRPr="00BF540C">
        <w:rPr>
          <w:b/>
        </w:rPr>
        <w:t>sviluppo delle rel</w:t>
      </w:r>
      <w:r w:rsidR="00C92FC9" w:rsidRPr="00BF540C">
        <w:rPr>
          <w:b/>
        </w:rPr>
        <w:t>azioni con il cliente</w:t>
      </w:r>
      <w:r w:rsidR="00BF540C">
        <w:t xml:space="preserve"> (46%).  Per tutti questi item la diversificazione </w:t>
      </w:r>
      <w:r w:rsidR="007674C2">
        <w:t xml:space="preserve">delle risposte </w:t>
      </w:r>
      <w:r w:rsidR="00BF540C">
        <w:t>per  tipologia di imp</w:t>
      </w:r>
      <w:r w:rsidR="007674C2">
        <w:t>resa risulta abbastanza uguale</w:t>
      </w:r>
      <w:r w:rsidR="00BF540C">
        <w:t xml:space="preserve">:  fanno registrare  percentuali superiori alla media </w:t>
      </w:r>
      <w:r w:rsidR="00957DE0">
        <w:t xml:space="preserve"> le imprese della Silvicoltura, le imprese che operano nel Centro Italia, quelle tra i 10 e i 50 addetti, le imprese giovanili e quelle femminili; inferiori alla media, invece,  le percentuali delle imprese localizzate nel Nord-</w:t>
      </w:r>
      <w:r w:rsidR="007674C2">
        <w:t>ovest  e le imprese con più di 5</w:t>
      </w:r>
      <w:r w:rsidR="00957DE0">
        <w:t>0 addetti.</w:t>
      </w:r>
    </w:p>
    <w:p w14:paraId="20002029" w14:textId="12009922" w:rsidR="00D910ED" w:rsidRPr="00D910ED" w:rsidRDefault="00D910ED" w:rsidP="00B92367">
      <w:pPr>
        <w:jc w:val="both"/>
        <w:rPr>
          <w:b/>
          <w:bCs/>
          <w:i/>
          <w:iCs/>
        </w:rPr>
      </w:pPr>
      <w:r w:rsidRPr="00D910ED">
        <w:rPr>
          <w:b/>
          <w:bCs/>
          <w:i/>
          <w:iCs/>
        </w:rPr>
        <w:t>Cambiamenti nel modello di business (valori%)</w:t>
      </w:r>
    </w:p>
    <w:p w14:paraId="474F2F68" w14:textId="3BFF5BCF" w:rsidR="00D910ED" w:rsidRDefault="00D910ED" w:rsidP="00B92367">
      <w:pPr>
        <w:jc w:val="both"/>
        <w:rPr>
          <w:b/>
        </w:rPr>
      </w:pPr>
      <w:r>
        <w:rPr>
          <w:noProof/>
        </w:rPr>
        <w:drawing>
          <wp:inline distT="0" distB="0" distL="0" distR="0" wp14:anchorId="6FB32C7B" wp14:editId="7CE423CA">
            <wp:extent cx="6116783" cy="5306292"/>
            <wp:effectExtent l="0" t="0" r="0" b="0"/>
            <wp:docPr id="22" name="Grafico 22">
              <a:extLst xmlns:a="http://schemas.openxmlformats.org/drawingml/2006/main">
                <a:ext uri="{FF2B5EF4-FFF2-40B4-BE49-F238E27FC236}">
                  <a16:creationId xmlns:a16="http://schemas.microsoft.com/office/drawing/2014/main" id="{5D1767C6-1AAF-E67F-B440-9E1FE3A312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D10A932" w14:textId="77777777" w:rsidR="00766159" w:rsidRDefault="00D910ED" w:rsidP="00B92367">
      <w:pPr>
        <w:jc w:val="both"/>
        <w:rPr>
          <w:i/>
          <w:iCs/>
          <w:sz w:val="20"/>
          <w:szCs w:val="20"/>
        </w:rPr>
      </w:pPr>
      <w:r w:rsidRPr="007E72A0">
        <w:rPr>
          <w:i/>
          <w:iCs/>
          <w:sz w:val="20"/>
          <w:szCs w:val="20"/>
        </w:rPr>
        <w:t>Fonte: Indagine Centro studi Guglielmo Tagliacarne</w:t>
      </w:r>
      <w:r w:rsidR="00766159">
        <w:rPr>
          <w:i/>
          <w:iCs/>
          <w:sz w:val="20"/>
          <w:szCs w:val="20"/>
        </w:rPr>
        <w:t>-Unioncamere</w:t>
      </w:r>
      <w:r w:rsidRPr="007E72A0">
        <w:rPr>
          <w:i/>
          <w:iCs/>
          <w:sz w:val="20"/>
          <w:szCs w:val="20"/>
        </w:rPr>
        <w:t xml:space="preserve"> 2022</w:t>
      </w:r>
    </w:p>
    <w:p w14:paraId="7CE8DBD8" w14:textId="5ADF50D7" w:rsidR="00D910ED" w:rsidRPr="00D910ED" w:rsidRDefault="00766159" w:rsidP="00B92367">
      <w:pPr>
        <w:jc w:val="both"/>
        <w:rPr>
          <w:i/>
          <w:iCs/>
          <w:sz w:val="20"/>
          <w:szCs w:val="20"/>
        </w:rPr>
      </w:pPr>
      <w:r>
        <w:rPr>
          <w:i/>
          <w:iCs/>
          <w:sz w:val="20"/>
          <w:szCs w:val="20"/>
        </w:rPr>
        <w:t>*Domanda a risposta multipla</w:t>
      </w:r>
      <w:r w:rsidR="00D910ED">
        <w:t xml:space="preserve">  </w:t>
      </w:r>
    </w:p>
    <w:p w14:paraId="01482400" w14:textId="2B86CB01" w:rsidR="00D00FD6" w:rsidRDefault="0084697D" w:rsidP="00B92367">
      <w:pPr>
        <w:jc w:val="both"/>
        <w:rPr>
          <w:b/>
        </w:rPr>
      </w:pPr>
      <w:r w:rsidRPr="00A34A1D">
        <w:rPr>
          <w:b/>
        </w:rPr>
        <w:t xml:space="preserve">I principali ostacoli all’introduzione di investimenti nelle tecnologie digitali 4.0 incontrati dalle imprese agricole intervistate sono stati nell’ordine:  le risorse economiche insufficienti (25%), i costi troppo elevati delle tecnologie (23%), </w:t>
      </w:r>
      <w:r w:rsidR="00277995" w:rsidRPr="00A34A1D">
        <w:rPr>
          <w:b/>
        </w:rPr>
        <w:t>la scarsa informazione sull’iter per investire in tecnologie digitali  (21%) e la mancanza di competenze digitali interne (15%) .</w:t>
      </w:r>
      <w:r w:rsidR="00B766DF" w:rsidRPr="00A34A1D">
        <w:rPr>
          <w:b/>
        </w:rPr>
        <w:t xml:space="preserve"> Il 30% degli intervistati afferma di non avere incontrato alcun tipo di difficoltà</w:t>
      </w:r>
      <w:r w:rsidR="00A34A1D">
        <w:rPr>
          <w:b/>
        </w:rPr>
        <w:t xml:space="preserve">. </w:t>
      </w:r>
    </w:p>
    <w:p w14:paraId="6D26BB4E" w14:textId="77777777" w:rsidR="002A18ED" w:rsidRDefault="002A18ED" w:rsidP="00B92367">
      <w:pPr>
        <w:jc w:val="both"/>
        <w:rPr>
          <w:b/>
        </w:rPr>
      </w:pPr>
    </w:p>
    <w:p w14:paraId="7352504C" w14:textId="4D812BD0" w:rsidR="00D00FD6" w:rsidRPr="00D00FD6" w:rsidRDefault="00D00FD6" w:rsidP="00B92367">
      <w:pPr>
        <w:jc w:val="both"/>
        <w:rPr>
          <w:b/>
          <w:i/>
          <w:iCs/>
        </w:rPr>
      </w:pPr>
      <w:r w:rsidRPr="00D00FD6">
        <w:rPr>
          <w:b/>
          <w:i/>
          <w:iCs/>
        </w:rPr>
        <w:t>Principali ostacoli all’introduzione i investimenti nelle tecnologie digitali 4.0 (valori%)</w:t>
      </w:r>
    </w:p>
    <w:p w14:paraId="1E15F2C4" w14:textId="12B52054" w:rsidR="00D00FD6" w:rsidRDefault="00CA21BE" w:rsidP="00B92367">
      <w:pPr>
        <w:jc w:val="both"/>
        <w:rPr>
          <w:b/>
        </w:rPr>
      </w:pPr>
      <w:r>
        <w:rPr>
          <w:noProof/>
        </w:rPr>
        <w:drawing>
          <wp:inline distT="0" distB="0" distL="0" distR="0" wp14:anchorId="49A5F77A" wp14:editId="573DE608">
            <wp:extent cx="5848350" cy="4521835"/>
            <wp:effectExtent l="0" t="0" r="0" b="0"/>
            <wp:docPr id="23" name="Grafico 23">
              <a:extLst xmlns:a="http://schemas.openxmlformats.org/drawingml/2006/main">
                <a:ext uri="{FF2B5EF4-FFF2-40B4-BE49-F238E27FC236}">
                  <a16:creationId xmlns:a16="http://schemas.microsoft.com/office/drawing/2014/main" id="{6D189D5C-18FE-0EFA-26D0-29CBEA3E70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889707A" w14:textId="48CBE2EC" w:rsidR="00766159" w:rsidRDefault="00D00FD6" w:rsidP="00B92367">
      <w:pPr>
        <w:jc w:val="both"/>
      </w:pPr>
      <w:r w:rsidRPr="007E72A0">
        <w:rPr>
          <w:i/>
          <w:iCs/>
          <w:sz w:val="20"/>
          <w:szCs w:val="20"/>
        </w:rPr>
        <w:t>Fonte: Indagine Centro studi Guglielmo Tagliacarne</w:t>
      </w:r>
      <w:r w:rsidR="00766159">
        <w:rPr>
          <w:i/>
          <w:iCs/>
          <w:sz w:val="20"/>
          <w:szCs w:val="20"/>
        </w:rPr>
        <w:t>-Unioncamere</w:t>
      </w:r>
      <w:r w:rsidRPr="007E72A0">
        <w:rPr>
          <w:i/>
          <w:iCs/>
          <w:sz w:val="20"/>
          <w:szCs w:val="20"/>
        </w:rPr>
        <w:t xml:space="preserve"> 2022</w:t>
      </w:r>
      <w:r>
        <w:t xml:space="preserve"> </w:t>
      </w:r>
    </w:p>
    <w:p w14:paraId="4E07CBCE" w14:textId="131DBD01" w:rsidR="00D00FD6" w:rsidRPr="00D00FD6" w:rsidRDefault="00766159" w:rsidP="00B92367">
      <w:pPr>
        <w:jc w:val="both"/>
        <w:rPr>
          <w:i/>
          <w:iCs/>
          <w:sz w:val="20"/>
          <w:szCs w:val="20"/>
        </w:rPr>
      </w:pPr>
      <w:r>
        <w:rPr>
          <w:i/>
          <w:iCs/>
          <w:sz w:val="20"/>
          <w:szCs w:val="20"/>
        </w:rPr>
        <w:t>*Domanda a risposta multipla</w:t>
      </w:r>
      <w:r>
        <w:t xml:space="preserve">  </w:t>
      </w:r>
      <w:r w:rsidR="00D00FD6">
        <w:t xml:space="preserve"> </w:t>
      </w:r>
    </w:p>
    <w:p w14:paraId="4E29A2F0" w14:textId="77777777" w:rsidR="0084697D" w:rsidRDefault="00A34A1D" w:rsidP="00B92367">
      <w:pPr>
        <w:jc w:val="both"/>
      </w:pPr>
      <w:r>
        <w:t>T</w:t>
      </w:r>
      <w:r w:rsidR="00B766DF">
        <w:t xml:space="preserve">ale percentuale sale al 50% per le imprese femminili e risulta pari a zero per le imprese giovanili;  per quanto riguarda le prime </w:t>
      </w:r>
      <w:r>
        <w:t>sono comunque le risorse finanziarie insufficienti il principale ostacolo (49%), seguite dei costi troppo elevati delle materie prime green (25%), questo stesso problema viene indicato anche dalla quasi totalità delle imprese giovanili(90%), che segnalano anche una diffusa mancanza di competenze digitali interne(44%) e una scarsa conoscenza sull’iter per investire in tecnologie digitali</w:t>
      </w:r>
      <w:r w:rsidR="00780BF1">
        <w:t xml:space="preserve"> (24%)</w:t>
      </w:r>
      <w:r>
        <w:t>.</w:t>
      </w:r>
    </w:p>
    <w:p w14:paraId="2E5CB75B" w14:textId="5A0D94D6" w:rsidR="00C35D6D" w:rsidRDefault="00767A7E" w:rsidP="00B92367">
      <w:pPr>
        <w:jc w:val="both"/>
      </w:pPr>
      <w:r>
        <w:t>La conoscenza delle barriere all’intr</w:t>
      </w:r>
      <w:r w:rsidR="00780BF1">
        <w:t xml:space="preserve">oduzione degli </w:t>
      </w:r>
      <w:r>
        <w:t xml:space="preserve"> investimenti </w:t>
      </w:r>
      <w:r w:rsidR="00780BF1">
        <w:t xml:space="preserve"> green e </w:t>
      </w:r>
      <w:r>
        <w:t xml:space="preserve">nelle tecnologie digitali 4.0 è indispensabile per definire le policy </w:t>
      </w:r>
      <w:r w:rsidR="00780BF1">
        <w:t xml:space="preserve">a sostegno della </w:t>
      </w:r>
      <w:r w:rsidR="00FE755C">
        <w:t>duplice transizione</w:t>
      </w:r>
      <w:r w:rsidR="00780BF1">
        <w:t xml:space="preserve">. </w:t>
      </w:r>
      <w:r w:rsidR="00C35D6D">
        <w:t xml:space="preserve">Coerentemente con quanto dichiarato in merito ostacoli, le imprese agricole intervistate ritengono che i </w:t>
      </w:r>
      <w:r w:rsidR="00C35D6D" w:rsidRPr="00B96911">
        <w:rPr>
          <w:b/>
        </w:rPr>
        <w:t xml:space="preserve">provvedimenti più importanti  per supportare le aziende </w:t>
      </w:r>
      <w:r w:rsidR="00780BF1">
        <w:rPr>
          <w:b/>
        </w:rPr>
        <w:t xml:space="preserve">ad investire nella sostenibilità ambientale e </w:t>
      </w:r>
      <w:r w:rsidR="00C35D6D" w:rsidRPr="00B96911">
        <w:rPr>
          <w:b/>
        </w:rPr>
        <w:t>nell’introduzione delle tecnologie digitali</w:t>
      </w:r>
      <w:r w:rsidR="00B96911">
        <w:t xml:space="preserve"> siano</w:t>
      </w:r>
      <w:r w:rsidR="00C35D6D">
        <w:t>, nell’ordine</w:t>
      </w:r>
      <w:r w:rsidR="00B96911">
        <w:t xml:space="preserve">, incentivare la formazione aziendale sulle competenze digitali (19%), sensibilizzare sull’importanza di investire in questo campo (22%), sviluppare percorsi di formazione scolastica ed universitaria sulle competenze digitali (23%),  favorire l’accesso al credito bancario per le risorse destinate a questi investimenti (24%) e semplificare le procedure amministrative rispetto a incentivi e agevolazioni (31%). </w:t>
      </w:r>
    </w:p>
    <w:p w14:paraId="5613C576" w14:textId="4F8B1309" w:rsidR="00CA21BE" w:rsidRDefault="00CA21BE" w:rsidP="00B92367">
      <w:pPr>
        <w:jc w:val="both"/>
      </w:pPr>
    </w:p>
    <w:p w14:paraId="256631F0" w14:textId="5C968CB7" w:rsidR="00CA21BE" w:rsidRDefault="00CA21BE" w:rsidP="00B92367">
      <w:pPr>
        <w:jc w:val="both"/>
      </w:pPr>
    </w:p>
    <w:p w14:paraId="16A14218" w14:textId="01767BD1" w:rsidR="00CA21BE" w:rsidRPr="00CA21BE" w:rsidRDefault="00CA21BE" w:rsidP="00B92367">
      <w:pPr>
        <w:jc w:val="both"/>
        <w:rPr>
          <w:b/>
          <w:bCs/>
          <w:i/>
          <w:iCs/>
        </w:rPr>
      </w:pPr>
      <w:r w:rsidRPr="00CA21BE">
        <w:rPr>
          <w:b/>
          <w:bCs/>
          <w:i/>
          <w:iCs/>
        </w:rPr>
        <w:t>Provvedimenti più importanti per supportare le imprese a investire in tecnologie digitali 4.0 e nella sostenibilità ambientale (valori %)</w:t>
      </w:r>
    </w:p>
    <w:p w14:paraId="40519B73" w14:textId="3978A6D7" w:rsidR="00F639B9" w:rsidRDefault="00CA21BE" w:rsidP="00B92367">
      <w:pPr>
        <w:jc w:val="both"/>
      </w:pPr>
      <w:r>
        <w:rPr>
          <w:noProof/>
        </w:rPr>
        <w:drawing>
          <wp:inline distT="0" distB="0" distL="0" distR="0" wp14:anchorId="4845701F" wp14:editId="7CAE9F3D">
            <wp:extent cx="5972175" cy="4743450"/>
            <wp:effectExtent l="0" t="0" r="0" b="0"/>
            <wp:docPr id="24" name="Grafico 24">
              <a:extLst xmlns:a="http://schemas.openxmlformats.org/drawingml/2006/main">
                <a:ext uri="{FF2B5EF4-FFF2-40B4-BE49-F238E27FC236}">
                  <a16:creationId xmlns:a16="http://schemas.microsoft.com/office/drawing/2014/main" id="{8F38AAB0-A31F-4011-808F-AAD9A83F32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4A55C7F" w14:textId="442938E3" w:rsidR="00CA21BE" w:rsidRPr="00CA21BE" w:rsidRDefault="00CA21BE" w:rsidP="00B92367">
      <w:pPr>
        <w:jc w:val="both"/>
        <w:rPr>
          <w:i/>
          <w:iCs/>
          <w:sz w:val="20"/>
          <w:szCs w:val="20"/>
        </w:rPr>
      </w:pPr>
      <w:r w:rsidRPr="007E72A0">
        <w:rPr>
          <w:i/>
          <w:iCs/>
          <w:sz w:val="20"/>
          <w:szCs w:val="20"/>
        </w:rPr>
        <w:t>Fonte: Indagine Centro studi Guglielmo Tagliacarne</w:t>
      </w:r>
      <w:r w:rsidR="00766159">
        <w:rPr>
          <w:i/>
          <w:iCs/>
          <w:sz w:val="20"/>
          <w:szCs w:val="20"/>
        </w:rPr>
        <w:t>-Unioncamere</w:t>
      </w:r>
      <w:r w:rsidRPr="007E72A0">
        <w:rPr>
          <w:i/>
          <w:iCs/>
          <w:sz w:val="20"/>
          <w:szCs w:val="20"/>
        </w:rPr>
        <w:t xml:space="preserve"> 2022</w:t>
      </w:r>
      <w:r>
        <w:t xml:space="preserve">  </w:t>
      </w:r>
    </w:p>
    <w:p w14:paraId="15C55F26" w14:textId="287DBA64" w:rsidR="00180779" w:rsidRPr="00766159" w:rsidRDefault="00766159" w:rsidP="00B92367">
      <w:pPr>
        <w:jc w:val="both"/>
        <w:rPr>
          <w:i/>
          <w:iCs/>
          <w:sz w:val="20"/>
          <w:szCs w:val="20"/>
        </w:rPr>
      </w:pPr>
      <w:r>
        <w:rPr>
          <w:i/>
          <w:iCs/>
          <w:sz w:val="20"/>
          <w:szCs w:val="20"/>
        </w:rPr>
        <w:t>*Domanda a risposta multipla</w:t>
      </w:r>
      <w:r>
        <w:t xml:space="preserve">  </w:t>
      </w:r>
    </w:p>
    <w:p w14:paraId="6D8862E5" w14:textId="77777777" w:rsidR="00E10AAB" w:rsidRDefault="00E10AAB" w:rsidP="00B92367">
      <w:pPr>
        <w:jc w:val="both"/>
        <w:rPr>
          <w:b/>
          <w:sz w:val="28"/>
          <w:szCs w:val="28"/>
          <w:u w:val="single"/>
        </w:rPr>
      </w:pPr>
    </w:p>
    <w:p w14:paraId="4B186908" w14:textId="77777777" w:rsidR="00E10AAB" w:rsidRDefault="00E10AAB" w:rsidP="00B92367">
      <w:pPr>
        <w:jc w:val="both"/>
        <w:rPr>
          <w:b/>
          <w:sz w:val="28"/>
          <w:szCs w:val="28"/>
          <w:u w:val="single"/>
        </w:rPr>
      </w:pPr>
    </w:p>
    <w:p w14:paraId="5AFFB86C" w14:textId="77777777" w:rsidR="00E10AAB" w:rsidRDefault="00E10AAB" w:rsidP="00B92367">
      <w:pPr>
        <w:jc w:val="both"/>
        <w:rPr>
          <w:b/>
          <w:sz w:val="28"/>
          <w:szCs w:val="28"/>
          <w:u w:val="single"/>
        </w:rPr>
      </w:pPr>
    </w:p>
    <w:p w14:paraId="4DC1AE57" w14:textId="77777777" w:rsidR="00E10AAB" w:rsidRDefault="00E10AAB" w:rsidP="00B92367">
      <w:pPr>
        <w:jc w:val="both"/>
        <w:rPr>
          <w:b/>
          <w:sz w:val="28"/>
          <w:szCs w:val="28"/>
          <w:u w:val="single"/>
        </w:rPr>
      </w:pPr>
    </w:p>
    <w:p w14:paraId="25ED510A" w14:textId="77777777" w:rsidR="00E10AAB" w:rsidRDefault="00E10AAB" w:rsidP="00B92367">
      <w:pPr>
        <w:jc w:val="both"/>
        <w:rPr>
          <w:b/>
          <w:sz w:val="28"/>
          <w:szCs w:val="28"/>
          <w:u w:val="single"/>
        </w:rPr>
      </w:pPr>
    </w:p>
    <w:p w14:paraId="782C09FA" w14:textId="77777777" w:rsidR="00E10AAB" w:rsidRDefault="00E10AAB" w:rsidP="00B92367">
      <w:pPr>
        <w:jc w:val="both"/>
        <w:rPr>
          <w:b/>
          <w:sz w:val="28"/>
          <w:szCs w:val="28"/>
          <w:u w:val="single"/>
        </w:rPr>
      </w:pPr>
    </w:p>
    <w:p w14:paraId="0B6AE4C7" w14:textId="77777777" w:rsidR="00E10AAB" w:rsidRDefault="00E10AAB" w:rsidP="00B92367">
      <w:pPr>
        <w:jc w:val="both"/>
        <w:rPr>
          <w:b/>
          <w:sz w:val="28"/>
          <w:szCs w:val="28"/>
          <w:u w:val="single"/>
        </w:rPr>
      </w:pPr>
    </w:p>
    <w:p w14:paraId="4FDFFC83" w14:textId="4C87A8FE" w:rsidR="00277995" w:rsidRDefault="00277995" w:rsidP="00B92367">
      <w:pPr>
        <w:jc w:val="both"/>
        <w:rPr>
          <w:b/>
          <w:sz w:val="28"/>
          <w:szCs w:val="28"/>
          <w:u w:val="single"/>
        </w:rPr>
      </w:pPr>
      <w:r w:rsidRPr="00180779">
        <w:rPr>
          <w:b/>
          <w:sz w:val="28"/>
          <w:szCs w:val="28"/>
          <w:u w:val="single"/>
        </w:rPr>
        <w:t>CONGIUNTURA</w:t>
      </w:r>
    </w:p>
    <w:p w14:paraId="5EE700E9" w14:textId="77777777" w:rsidR="00180779" w:rsidRDefault="00180779" w:rsidP="00B92367">
      <w:pPr>
        <w:jc w:val="both"/>
      </w:pPr>
    </w:p>
    <w:p w14:paraId="5F1AC3E2" w14:textId="77777777" w:rsidR="009925E2" w:rsidRDefault="009925E2" w:rsidP="00B92367">
      <w:pPr>
        <w:jc w:val="both"/>
      </w:pPr>
      <w:r>
        <w:t xml:space="preserve">Negli ultimi tre anni fenomeni epocali ed imprevisti  hanno </w:t>
      </w:r>
      <w:r w:rsidR="00654D12">
        <w:t>disegnato uno scenario da “tempesta perfetta” per l’agricoltura italiana e, più in generale, mondiale</w:t>
      </w:r>
      <w:r w:rsidR="0011052B">
        <w:t>.</w:t>
      </w:r>
      <w:r w:rsidR="00654D12">
        <w:t xml:space="preserve"> </w:t>
      </w:r>
      <w:r w:rsidR="0011052B">
        <w:t xml:space="preserve"> L</w:t>
      </w:r>
      <w:r w:rsidR="00654D12">
        <w:t>a Pandemia da Covid 19, i ritardi e le stozzature nei trasporti e nella logistica a  livello globale nella fase di ripresa Post-Covid, i conseguenti aumenti dei prezzi della materie prime, la guerra Russi</w:t>
      </w:r>
      <w:r w:rsidR="00777B67">
        <w:t>a</w:t>
      </w:r>
      <w:r w:rsidR="00654D12">
        <w:t>-Ucraina, l’esplosione dei costi energetici</w:t>
      </w:r>
      <w:r w:rsidR="00777B67">
        <w:t xml:space="preserve"> che ne è derivata, gli eventi climatici estremi, con particolare riferimento alla gravissima siccità che ha colpito, e continua a colpire, tutto il continente europeo</w:t>
      </w:r>
      <w:r w:rsidR="0011052B">
        <w:t>, con ulteriori effetti negativi sui costi di produzione agricoli</w:t>
      </w:r>
      <w:r w:rsidR="00777B67">
        <w:t>,</w:t>
      </w:r>
      <w:r w:rsidR="0011052B">
        <w:t xml:space="preserve"> </w:t>
      </w:r>
      <w:r w:rsidR="00777B67">
        <w:t xml:space="preserve"> il ritorno a tassi di inflazione sconosciuti da ormai quarant’anni</w:t>
      </w:r>
      <w:r w:rsidR="0011052B">
        <w:t>, che stanno determinato una modifica nelle abitudini  di spesa alimentare dei consumatori italiani</w:t>
      </w:r>
      <w:r w:rsidR="004A06E0">
        <w:t>: tutti eventi che si sono manifestati  in rapida successione costringendo le imprese agricole a un percorso sulle montagne russe e peggiorando gravemente il clima di fiducia di imprenditori e consumatori.</w:t>
      </w:r>
    </w:p>
    <w:p w14:paraId="20D99BC1" w14:textId="77777777" w:rsidR="00720369" w:rsidRDefault="00720369" w:rsidP="00B92367">
      <w:pPr>
        <w:jc w:val="both"/>
      </w:pPr>
      <w:r>
        <w:t>Ma le imprese agricole italiane hanno saputo dimostrare un grado di resilienza molto elevato di fronte al susseguirsi di queste crisi epocali.</w:t>
      </w:r>
    </w:p>
    <w:p w14:paraId="57390F1B" w14:textId="77777777" w:rsidR="00654D12" w:rsidRDefault="00720369" w:rsidP="00B92367">
      <w:pPr>
        <w:jc w:val="both"/>
      </w:pPr>
      <w:r>
        <w:t xml:space="preserve">Soprattutto </w:t>
      </w:r>
      <w:r w:rsidR="0060204B">
        <w:t xml:space="preserve">per quanto riguarda le esportazioni,  che anche in questi anni di crisi </w:t>
      </w:r>
      <w:r>
        <w:t xml:space="preserve"> sono state la componente</w:t>
      </w:r>
      <w:r w:rsidR="0060204B">
        <w:t xml:space="preserve"> più dinamica del fatturato delle imprese agricole italiane e che nel 2022 si stima possano sfiorare la cifra record di 60 miliardi di euro, con una crescita rispetto al 2021 di ben il 16%, in gran parte determinata  dalla dinamica dei prezzi, ma dovuta anche ad un aumento dei volumi scambiati. </w:t>
      </w:r>
      <w:r>
        <w:t xml:space="preserve">  </w:t>
      </w:r>
    </w:p>
    <w:p w14:paraId="43057066" w14:textId="77777777" w:rsidR="0060204B" w:rsidRPr="009925E2" w:rsidRDefault="0060204B" w:rsidP="00B92367">
      <w:pPr>
        <w:jc w:val="both"/>
      </w:pPr>
      <w:r>
        <w:t xml:space="preserve">La capacità delle imprese agricole italiane di reagire e  combattere la crisi è confermata dalle risposte delle imprese </w:t>
      </w:r>
      <w:r w:rsidR="00C6165D">
        <w:t>agricole intervistate alle domande di carattere congiunturale presenti nel questionario sottoposto durante la presente indagine.</w:t>
      </w:r>
    </w:p>
    <w:p w14:paraId="42B5E0FB" w14:textId="728A7B26" w:rsidR="00763A4C" w:rsidRDefault="00277995" w:rsidP="00B92367">
      <w:pPr>
        <w:jc w:val="both"/>
        <w:rPr>
          <w:b/>
        </w:rPr>
      </w:pPr>
      <w:r w:rsidRPr="00357E30">
        <w:rPr>
          <w:b/>
        </w:rPr>
        <w:t xml:space="preserve">Il 20% delle imprese </w:t>
      </w:r>
      <w:r w:rsidR="00E16401" w:rsidRPr="00357E30">
        <w:rPr>
          <w:b/>
        </w:rPr>
        <w:t xml:space="preserve">agricole </w:t>
      </w:r>
      <w:r w:rsidRPr="00357E30">
        <w:rPr>
          <w:b/>
        </w:rPr>
        <w:t xml:space="preserve">intervistate dichiara di </w:t>
      </w:r>
      <w:r w:rsidR="002C7536">
        <w:rPr>
          <w:b/>
        </w:rPr>
        <w:t>avere esportato nel 2021</w:t>
      </w:r>
      <w:r w:rsidRPr="00357E30">
        <w:rPr>
          <w:b/>
        </w:rPr>
        <w:t xml:space="preserve">, una quota </w:t>
      </w:r>
      <w:r w:rsidR="00E16401" w:rsidRPr="00357E30">
        <w:rPr>
          <w:b/>
        </w:rPr>
        <w:t xml:space="preserve">molto inferiore </w:t>
      </w:r>
      <w:r w:rsidRPr="00357E30">
        <w:rPr>
          <w:b/>
        </w:rPr>
        <w:t>a quella delle im</w:t>
      </w:r>
      <w:r w:rsidR="00E16401" w:rsidRPr="00357E30">
        <w:rPr>
          <w:b/>
        </w:rPr>
        <w:t xml:space="preserve">prese manifatturiere (54%), ma superiore a quella delle imprese terziarie (12%). </w:t>
      </w:r>
    </w:p>
    <w:p w14:paraId="45A35073" w14:textId="6BA70638" w:rsidR="00CE5932" w:rsidRPr="00CE5932" w:rsidRDefault="00CE5932" w:rsidP="00B92367">
      <w:pPr>
        <w:jc w:val="both"/>
        <w:rPr>
          <w:b/>
          <w:i/>
          <w:iCs/>
        </w:rPr>
      </w:pPr>
      <w:r w:rsidRPr="00CE5932">
        <w:rPr>
          <w:b/>
          <w:i/>
          <w:iCs/>
        </w:rPr>
        <w:t>Quota di imprese esportatrici nel 2021 (valori %)</w:t>
      </w:r>
    </w:p>
    <w:p w14:paraId="0DB84005" w14:textId="4E0779FF" w:rsidR="00CE5932" w:rsidRDefault="00CE5932" w:rsidP="00B92367">
      <w:pPr>
        <w:jc w:val="both"/>
        <w:rPr>
          <w:b/>
        </w:rPr>
      </w:pPr>
      <w:r>
        <w:rPr>
          <w:noProof/>
        </w:rPr>
        <w:drawing>
          <wp:inline distT="0" distB="0" distL="0" distR="0" wp14:anchorId="3323BC38" wp14:editId="3D1BAEC6">
            <wp:extent cx="6104466" cy="2628900"/>
            <wp:effectExtent l="0" t="0" r="0" b="0"/>
            <wp:docPr id="26" name="Grafico 26">
              <a:extLst xmlns:a="http://schemas.openxmlformats.org/drawingml/2006/main">
                <a:ext uri="{FF2B5EF4-FFF2-40B4-BE49-F238E27FC236}">
                  <a16:creationId xmlns:a16="http://schemas.microsoft.com/office/drawing/2014/main" id="{C03F88F9-A33A-C458-2823-86D1D27931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FDFF7B1" w14:textId="11156A12" w:rsidR="00CE5932" w:rsidRDefault="00CE5932" w:rsidP="00B92367">
      <w:pPr>
        <w:jc w:val="both"/>
      </w:pPr>
      <w:r w:rsidRPr="007E72A0">
        <w:rPr>
          <w:i/>
          <w:iCs/>
          <w:sz w:val="20"/>
          <w:szCs w:val="20"/>
        </w:rPr>
        <w:t>Fonte: Indagine Centro studi Guglielmo Tagliacarne</w:t>
      </w:r>
      <w:r w:rsidR="00766159">
        <w:rPr>
          <w:i/>
          <w:iCs/>
          <w:sz w:val="20"/>
          <w:szCs w:val="20"/>
        </w:rPr>
        <w:t>-Unioncamere</w:t>
      </w:r>
      <w:r w:rsidRPr="007E72A0">
        <w:rPr>
          <w:i/>
          <w:iCs/>
          <w:sz w:val="20"/>
          <w:szCs w:val="20"/>
        </w:rPr>
        <w:t xml:space="preserve"> 2022</w:t>
      </w:r>
      <w:r>
        <w:t xml:space="preserve">  </w:t>
      </w:r>
    </w:p>
    <w:p w14:paraId="40DAF71F" w14:textId="77777777" w:rsidR="00220C0D" w:rsidRDefault="00E16401" w:rsidP="00B92367">
      <w:pPr>
        <w:jc w:val="both"/>
      </w:pPr>
      <w:r w:rsidRPr="00763A4C">
        <w:t>Non si osservano particolari differenziazioni in base alla localizzazione dell’impresa</w:t>
      </w:r>
      <w:r w:rsidR="0044204B" w:rsidRPr="00763A4C">
        <w:t xml:space="preserve"> agricole</w:t>
      </w:r>
      <w:r w:rsidRPr="00763A4C">
        <w:t>,  mentre</w:t>
      </w:r>
      <w:r w:rsidR="0044204B" w:rsidRPr="00763A4C">
        <w:t xml:space="preserve">, prevedibilmente, </w:t>
      </w:r>
      <w:r w:rsidRPr="00763A4C">
        <w:t xml:space="preserve"> incide molto la dimensione aziendale   favorendo le esportazioni </w:t>
      </w:r>
      <w:r w:rsidR="0044204B" w:rsidRPr="00763A4C">
        <w:t xml:space="preserve"> nelle imprese con più di 50 addetti (41%</w:t>
      </w:r>
      <w:r w:rsidR="0099675D" w:rsidRPr="00763A4C">
        <w:t xml:space="preserve"> di aziende esportatrici</w:t>
      </w:r>
      <w:r w:rsidR="0044204B" w:rsidRPr="00763A4C">
        <w:t>); anche l’età del’imprenditore è correlata alle esportazioni (le imprese giovanili esportano di più</w:t>
      </w:r>
      <w:r w:rsidR="0099675D" w:rsidRPr="00763A4C">
        <w:t xml:space="preserve"> della media</w:t>
      </w:r>
      <w:r w:rsidR="0044204B" w:rsidRPr="00763A4C">
        <w:t>, 33%), mentre il genere non sembra particolarmente rilevante</w:t>
      </w:r>
      <w:r w:rsidR="0044204B">
        <w:t xml:space="preserve"> (la quota di imprese femminili esportatrici si colloca vicino alla media</w:t>
      </w:r>
      <w:r w:rsidR="001B73E5">
        <w:t xml:space="preserve">, </w:t>
      </w:r>
      <w:r w:rsidR="0044204B">
        <w:t>22%).</w:t>
      </w:r>
      <w:r w:rsidR="00220C0D">
        <w:t xml:space="preserve"> Da segnalare, infine, la quasi totale assenza di imprese esportatrici che operano nella silvicoltura (0,7) e, all’interno del settore agricoltura, un maggiore propensione all’export delle imprese di coltivazione (30%) rispetto a quelle di allevamento (14%).</w:t>
      </w:r>
    </w:p>
    <w:p w14:paraId="2B472832" w14:textId="77777777" w:rsidR="000A3DDF" w:rsidRDefault="000A3DDF" w:rsidP="00B92367">
      <w:pPr>
        <w:jc w:val="both"/>
      </w:pPr>
      <w:r w:rsidRPr="00B95367">
        <w:rPr>
          <w:b/>
        </w:rPr>
        <w:t>In media le imprese agricole</w:t>
      </w:r>
      <w:r w:rsidR="000E37F1" w:rsidRPr="00B95367">
        <w:rPr>
          <w:b/>
        </w:rPr>
        <w:t xml:space="preserve"> esportatrici vendono all’estero circa un terzo del loro del fatturato (</w:t>
      </w:r>
      <w:r w:rsidRPr="00B95367">
        <w:rPr>
          <w:b/>
        </w:rPr>
        <w:t>34%</w:t>
      </w:r>
      <w:r w:rsidR="000E37F1" w:rsidRPr="00B95367">
        <w:rPr>
          <w:b/>
        </w:rPr>
        <w:t>), quota percentuale che non si differenzia significativamente in rapporto alle diverse tipologie di imprese agricole.</w:t>
      </w:r>
      <w:r w:rsidR="000E37F1">
        <w:t xml:space="preserve">  Da rimarcare il fatto che anche le piccole imprese agricole esportatrici destinino all’estero una percentuale del loro fatturato (33%) in linea con quelle delle imprese di maggiori dimensioni (36% per quelle tra i 2 e i 9 addetti, 34% per quelle sopra i 50 addetti</w:t>
      </w:r>
      <w:r w:rsidR="00B95367">
        <w:t>). Anche dal punto di vista territoriale non si registrano particolari differenziazioni: nel Nord-ovest e nel Centro e Isole la quota di fatturato esportato è solo leggermente superiore alla media (rispettivamente 39% e 37%), mentr</w:t>
      </w:r>
      <w:r w:rsidR="002C7536">
        <w:t>e nel Nord-est risulta di poco più bassa</w:t>
      </w:r>
      <w:r w:rsidR="00F23171">
        <w:t xml:space="preserve"> (29%)</w:t>
      </w:r>
      <w:r w:rsidR="002C7536">
        <w:t>.</w:t>
      </w:r>
    </w:p>
    <w:p w14:paraId="63DDC806" w14:textId="6F104E19" w:rsidR="00763A4C" w:rsidRPr="00E5337A" w:rsidRDefault="00F23171" w:rsidP="00B92367">
      <w:pPr>
        <w:jc w:val="both"/>
        <w:rPr>
          <w:b/>
          <w:bCs/>
          <w:i/>
          <w:iCs/>
        </w:rPr>
      </w:pPr>
      <w:r w:rsidRPr="00166987">
        <w:rPr>
          <w:b/>
        </w:rPr>
        <w:t xml:space="preserve">Se confrontate con quelle del 2020 le esportazioni delle imprese agricole intervistate </w:t>
      </w:r>
      <w:r w:rsidR="008E0390" w:rsidRPr="00166987">
        <w:rPr>
          <w:b/>
        </w:rPr>
        <w:t xml:space="preserve">sono </w:t>
      </w:r>
      <w:r w:rsidRPr="00166987">
        <w:rPr>
          <w:b/>
        </w:rPr>
        <w:t>risulta</w:t>
      </w:r>
      <w:r w:rsidR="008E0390" w:rsidRPr="00166987">
        <w:rPr>
          <w:b/>
        </w:rPr>
        <w:t xml:space="preserve">te </w:t>
      </w:r>
      <w:r w:rsidRPr="00166987">
        <w:rPr>
          <w:b/>
        </w:rPr>
        <w:t xml:space="preserve"> </w:t>
      </w:r>
      <w:r w:rsidR="008E0390" w:rsidRPr="00166987">
        <w:rPr>
          <w:b/>
        </w:rPr>
        <w:t xml:space="preserve">nel 2021 </w:t>
      </w:r>
      <w:r w:rsidRPr="00166987">
        <w:rPr>
          <w:b/>
        </w:rPr>
        <w:t>stazionarie (+/- 2%) nell’87% dei casi</w:t>
      </w:r>
      <w:r w:rsidR="008E0390" w:rsidRPr="00166987">
        <w:rPr>
          <w:b/>
        </w:rPr>
        <w:t>, in crescita  nel 9% (di cui l’1,5% in forte aumento superiore al +15% e il 7,5% in sensibile aumento dal + 3% al  +15%)</w:t>
      </w:r>
      <w:r w:rsidR="00CC7CDF">
        <w:rPr>
          <w:b/>
        </w:rPr>
        <w:t xml:space="preserve"> e solo nel 4% in diminuzione (sensibile diminuzione 3%, forte diminuzione 1%) </w:t>
      </w:r>
      <w:r w:rsidR="00166987">
        <w:t xml:space="preserve">. </w:t>
      </w:r>
    </w:p>
    <w:p w14:paraId="5F911AE7" w14:textId="1FBE54D4" w:rsidR="00E5337A" w:rsidRPr="00E5337A" w:rsidRDefault="00E5337A" w:rsidP="00B92367">
      <w:pPr>
        <w:jc w:val="both"/>
        <w:rPr>
          <w:b/>
          <w:bCs/>
          <w:i/>
          <w:iCs/>
        </w:rPr>
      </w:pPr>
      <w:r w:rsidRPr="00E5337A">
        <w:rPr>
          <w:b/>
          <w:bCs/>
          <w:i/>
          <w:iCs/>
        </w:rPr>
        <w:t>Andamento delle esportazioni 2021 vs 2020 (valori %)</w:t>
      </w:r>
    </w:p>
    <w:p w14:paraId="2A1A30BD" w14:textId="4553270A" w:rsidR="00E5337A" w:rsidRDefault="00525218" w:rsidP="00B92367">
      <w:pPr>
        <w:jc w:val="both"/>
      </w:pPr>
      <w:r>
        <w:rPr>
          <w:noProof/>
        </w:rPr>
        <w:drawing>
          <wp:inline distT="0" distB="0" distL="0" distR="0" wp14:anchorId="220D9136" wp14:editId="025D978C">
            <wp:extent cx="6061710" cy="2895600"/>
            <wp:effectExtent l="0" t="0" r="0" b="0"/>
            <wp:docPr id="29" name="Grafico 29">
              <a:extLst xmlns:a="http://schemas.openxmlformats.org/drawingml/2006/main">
                <a:ext uri="{FF2B5EF4-FFF2-40B4-BE49-F238E27FC236}">
                  <a16:creationId xmlns:a16="http://schemas.microsoft.com/office/drawing/2014/main" id="{348B587C-34E4-3627-4FFE-7EB49FF181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718C924" w14:textId="1457949B" w:rsidR="00E5337A" w:rsidRDefault="00E5337A" w:rsidP="00B92367">
      <w:pPr>
        <w:jc w:val="both"/>
      </w:pPr>
      <w:r w:rsidRPr="007E72A0">
        <w:rPr>
          <w:i/>
          <w:iCs/>
          <w:sz w:val="20"/>
          <w:szCs w:val="20"/>
        </w:rPr>
        <w:t>Fonte: Indagine Centro studi Guglielmo Tagliacarne</w:t>
      </w:r>
      <w:r w:rsidR="00766159">
        <w:rPr>
          <w:i/>
          <w:iCs/>
          <w:sz w:val="20"/>
          <w:szCs w:val="20"/>
        </w:rPr>
        <w:t>-Unioncamere</w:t>
      </w:r>
      <w:r w:rsidRPr="007E72A0">
        <w:rPr>
          <w:i/>
          <w:iCs/>
          <w:sz w:val="20"/>
          <w:szCs w:val="20"/>
        </w:rPr>
        <w:t xml:space="preserve"> 2022</w:t>
      </w:r>
      <w:r>
        <w:t xml:space="preserve">  </w:t>
      </w:r>
    </w:p>
    <w:p w14:paraId="5B24CDA5" w14:textId="49CC8BB7" w:rsidR="00F23171" w:rsidRDefault="00166987" w:rsidP="00B92367">
      <w:pPr>
        <w:jc w:val="both"/>
      </w:pPr>
      <w:r>
        <w:t>L</w:t>
      </w:r>
      <w:r w:rsidR="0067019E">
        <w:t>e percentuali di imprese con esportazioni in crescita sono più elevate per le imprese della Pesca (6% in forte aumento e l’11% in sensibile crescita</w:t>
      </w:r>
      <w:r>
        <w:t>) e</w:t>
      </w:r>
      <w:r w:rsidR="0067019E">
        <w:t xml:space="preserve"> nel Sud e Isole (rispettivamente  4%  e 11%)</w:t>
      </w:r>
      <w:r>
        <w:t>:  i due fenomeni sono evidentemente collegati dal fatto che le imprese della Pesca sono prese</w:t>
      </w:r>
      <w:r w:rsidR="005B5748">
        <w:t>n</w:t>
      </w:r>
      <w:r>
        <w:t>ti soprattutto in quest’area</w:t>
      </w:r>
      <w:r w:rsidR="00904DAF">
        <w:t xml:space="preserve"> (31% del totale)</w:t>
      </w:r>
      <w:r>
        <w:t>.</w:t>
      </w:r>
    </w:p>
    <w:p w14:paraId="2DF222BC" w14:textId="44239F7E" w:rsidR="00763A4C" w:rsidRDefault="00166987" w:rsidP="00B92367">
      <w:pPr>
        <w:jc w:val="both"/>
      </w:pPr>
      <w:r w:rsidRPr="005B5748">
        <w:rPr>
          <w:b/>
        </w:rPr>
        <w:t xml:space="preserve">Le previsioni per il 2022 </w:t>
      </w:r>
      <w:r w:rsidR="005B5748">
        <w:t>(</w:t>
      </w:r>
      <w:r w:rsidRPr="005B5748">
        <w:t>al momento delle interviste l’anno non era ancora terminato)</w:t>
      </w:r>
      <w:r w:rsidRPr="005B5748">
        <w:rPr>
          <w:b/>
        </w:rPr>
        <w:t xml:space="preserve"> indicano performance di esportazione in netto miglioramento: </w:t>
      </w:r>
      <w:r w:rsidR="00CC7CDF" w:rsidRPr="005B5748">
        <w:rPr>
          <w:b/>
        </w:rPr>
        <w:t xml:space="preserve"> la percentuale di imprese agricole che prevedono un aumento sale al 1</w:t>
      </w:r>
      <w:r w:rsidR="00525218">
        <w:rPr>
          <w:b/>
        </w:rPr>
        <w:t>9</w:t>
      </w:r>
      <w:r w:rsidR="00CC7CDF" w:rsidRPr="005B5748">
        <w:rPr>
          <w:b/>
        </w:rPr>
        <w:t>% (forte aumento 10%, sensibile aumento 9%), quella di esportazioni stazionarie scende al  77%</w:t>
      </w:r>
      <w:r w:rsidR="005B5748" w:rsidRPr="005B5748">
        <w:rPr>
          <w:b/>
        </w:rPr>
        <w:t>, mentre i casi di diminuzione rimangono immutati (4%)</w:t>
      </w:r>
      <w:r w:rsidR="005B5748">
        <w:t xml:space="preserve">. </w:t>
      </w:r>
    </w:p>
    <w:p w14:paraId="607D94DE" w14:textId="4CC4E303" w:rsidR="00525218" w:rsidRDefault="00525218" w:rsidP="00B92367">
      <w:pPr>
        <w:jc w:val="both"/>
      </w:pPr>
    </w:p>
    <w:p w14:paraId="67D08F40" w14:textId="4C7E740C" w:rsidR="00525218" w:rsidRPr="00E5337A" w:rsidRDefault="00140D9F" w:rsidP="00525218">
      <w:pPr>
        <w:jc w:val="both"/>
        <w:rPr>
          <w:b/>
          <w:bCs/>
          <w:i/>
          <w:iCs/>
        </w:rPr>
      </w:pPr>
      <w:r>
        <w:rPr>
          <w:b/>
          <w:bCs/>
          <w:i/>
          <w:iCs/>
        </w:rPr>
        <w:t xml:space="preserve">Previsioni </w:t>
      </w:r>
      <w:r w:rsidR="00525218" w:rsidRPr="00E5337A">
        <w:rPr>
          <w:b/>
          <w:bCs/>
          <w:i/>
          <w:iCs/>
        </w:rPr>
        <w:t>delle esportazioni 202</w:t>
      </w:r>
      <w:r w:rsidR="00525218">
        <w:rPr>
          <w:b/>
          <w:bCs/>
          <w:i/>
          <w:iCs/>
        </w:rPr>
        <w:t>2</w:t>
      </w:r>
      <w:r w:rsidR="00525218" w:rsidRPr="00E5337A">
        <w:rPr>
          <w:b/>
          <w:bCs/>
          <w:i/>
          <w:iCs/>
        </w:rPr>
        <w:t xml:space="preserve"> vs 202</w:t>
      </w:r>
      <w:r w:rsidR="00525218">
        <w:rPr>
          <w:b/>
          <w:bCs/>
          <w:i/>
          <w:iCs/>
        </w:rPr>
        <w:t>1</w:t>
      </w:r>
      <w:r w:rsidR="00525218" w:rsidRPr="00E5337A">
        <w:rPr>
          <w:b/>
          <w:bCs/>
          <w:i/>
          <w:iCs/>
        </w:rPr>
        <w:t xml:space="preserve"> (valori %)</w:t>
      </w:r>
    </w:p>
    <w:p w14:paraId="3845C62D" w14:textId="77777777" w:rsidR="00525218" w:rsidRDefault="00525218" w:rsidP="00B92367">
      <w:pPr>
        <w:jc w:val="both"/>
      </w:pPr>
    </w:p>
    <w:p w14:paraId="66F9240A" w14:textId="4E3C5F83" w:rsidR="00525218" w:rsidRDefault="00525218" w:rsidP="00B92367">
      <w:pPr>
        <w:jc w:val="both"/>
      </w:pPr>
      <w:r>
        <w:rPr>
          <w:noProof/>
        </w:rPr>
        <w:drawing>
          <wp:inline distT="0" distB="0" distL="0" distR="0" wp14:anchorId="30531137" wp14:editId="131C9F4D">
            <wp:extent cx="6061710" cy="2895600"/>
            <wp:effectExtent l="0" t="0" r="0" b="0"/>
            <wp:docPr id="30" name="Grafico 30">
              <a:extLst xmlns:a="http://schemas.openxmlformats.org/drawingml/2006/main">
                <a:ext uri="{FF2B5EF4-FFF2-40B4-BE49-F238E27FC236}">
                  <a16:creationId xmlns:a16="http://schemas.microsoft.com/office/drawing/2014/main" id="{E6511924-FEDE-4481-BE1A-45155F788D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D290B3D" w14:textId="7EECB826" w:rsidR="00525218" w:rsidRDefault="00525218" w:rsidP="00B92367">
      <w:pPr>
        <w:jc w:val="both"/>
      </w:pPr>
      <w:r w:rsidRPr="007E72A0">
        <w:rPr>
          <w:i/>
          <w:iCs/>
          <w:sz w:val="20"/>
          <w:szCs w:val="20"/>
        </w:rPr>
        <w:t>Fonte: Indagine Centro studi Guglielmo Tagliacarne</w:t>
      </w:r>
      <w:r w:rsidR="00766159">
        <w:rPr>
          <w:i/>
          <w:iCs/>
          <w:sz w:val="20"/>
          <w:szCs w:val="20"/>
        </w:rPr>
        <w:t>-Unioncamere</w:t>
      </w:r>
      <w:r w:rsidRPr="007E72A0">
        <w:rPr>
          <w:i/>
          <w:iCs/>
          <w:sz w:val="20"/>
          <w:szCs w:val="20"/>
        </w:rPr>
        <w:t xml:space="preserve"> 2022</w:t>
      </w:r>
      <w:r>
        <w:t xml:space="preserve">  </w:t>
      </w:r>
    </w:p>
    <w:p w14:paraId="441F6FDF" w14:textId="34BD8DE4" w:rsidR="002C7536" w:rsidRPr="005B5748" w:rsidRDefault="005B5748" w:rsidP="00B92367">
      <w:pPr>
        <w:jc w:val="both"/>
      </w:pPr>
      <w:r>
        <w:t>I casi di</w:t>
      </w:r>
      <w:r w:rsidR="009B0CA8">
        <w:t xml:space="preserve"> previsioni di aumento riguardano in misura maggiore</w:t>
      </w:r>
      <w:r>
        <w:t xml:space="preserve"> le imp</w:t>
      </w:r>
      <w:r w:rsidR="009B0CA8">
        <w:t>rese agricole del Nord-est (28%;</w:t>
      </w:r>
      <w:r>
        <w:t xml:space="preserve"> di cui forte aumento 16% e sensibile aumento 12%), quelle del Nord-ovest (2</w:t>
      </w:r>
      <w:r w:rsidR="009B0CA8">
        <w:t>3%;</w:t>
      </w:r>
      <w:r>
        <w:t xml:space="preserve"> </w:t>
      </w:r>
      <w:r w:rsidR="009B0CA8">
        <w:t xml:space="preserve">di cui </w:t>
      </w:r>
      <w:r>
        <w:t>forte 16% e sensibile 7</w:t>
      </w:r>
      <w:r w:rsidR="009B0CA8">
        <w:t xml:space="preserve">%) e le imprese giovanili (26%;  di cui forte 16% e sensibile 10%) e quelle femminili  (25%; di cui forte 20% e sensibile 5%). Le previsioni di diminuzione delle importazioni nel 2022 sono , invece, superiori alla </w:t>
      </w:r>
      <w:r w:rsidR="00904DAF">
        <w:t>medie per le imprese della Pesca (11%, tutte di sensibile diminuzione) e, di conseguenza, del Sud e Isole (9%, anche qui solo sensibile diminuzione).</w:t>
      </w:r>
    </w:p>
    <w:p w14:paraId="051386EC" w14:textId="77777777" w:rsidR="002C7536" w:rsidRPr="007E4A64" w:rsidRDefault="002C7536" w:rsidP="00B92367">
      <w:pPr>
        <w:jc w:val="both"/>
        <w:rPr>
          <w:b/>
        </w:rPr>
      </w:pPr>
    </w:p>
    <w:p w14:paraId="433E612F" w14:textId="0618676F" w:rsidR="00140D9F" w:rsidRDefault="00220C0D" w:rsidP="00B92367">
      <w:pPr>
        <w:jc w:val="both"/>
      </w:pPr>
      <w:r w:rsidRPr="000A3DDF">
        <w:rPr>
          <w:b/>
        </w:rPr>
        <w:t>Nel 2021 le imprese agricole intervistate hanno visto crescere il loro fatturato rispetto all’anno precedente nel 54% dei casi (</w:t>
      </w:r>
      <w:r w:rsidR="000A3DDF" w:rsidRPr="000A3DDF">
        <w:rPr>
          <w:b/>
        </w:rPr>
        <w:t xml:space="preserve">dei quali </w:t>
      </w:r>
      <w:r w:rsidRPr="000A3DDF">
        <w:rPr>
          <w:b/>
        </w:rPr>
        <w:t>quasi tutti</w:t>
      </w:r>
      <w:r w:rsidR="00204DF6" w:rsidRPr="000A3DDF">
        <w:rPr>
          <w:b/>
        </w:rPr>
        <w:t>,</w:t>
      </w:r>
      <w:r w:rsidRPr="000A3DDF">
        <w:rPr>
          <w:b/>
        </w:rPr>
        <w:t xml:space="preserve"> </w:t>
      </w:r>
      <w:r w:rsidR="00204DF6" w:rsidRPr="000A3DDF">
        <w:rPr>
          <w:b/>
        </w:rPr>
        <w:t xml:space="preserve">51%, con aumenti compresi tra il </w:t>
      </w:r>
      <w:r w:rsidR="008E0390">
        <w:rPr>
          <w:b/>
        </w:rPr>
        <w:t>+</w:t>
      </w:r>
      <w:r w:rsidR="00204DF6" w:rsidRPr="000A3DDF">
        <w:rPr>
          <w:b/>
        </w:rPr>
        <w:t xml:space="preserve">3% e il </w:t>
      </w:r>
      <w:r w:rsidR="008E0390">
        <w:rPr>
          <w:b/>
        </w:rPr>
        <w:t>+</w:t>
      </w:r>
      <w:r w:rsidR="00204DF6" w:rsidRPr="000A3DDF">
        <w:rPr>
          <w:b/>
        </w:rPr>
        <w:t xml:space="preserve">15%), mentre il 14% denuncia una diminuzione (anche in questo caso,quasi tutti, 12%, con cali tra il </w:t>
      </w:r>
      <w:r w:rsidR="008E0390">
        <w:rPr>
          <w:b/>
        </w:rPr>
        <w:t>-</w:t>
      </w:r>
      <w:r w:rsidR="00204DF6" w:rsidRPr="000A3DDF">
        <w:rPr>
          <w:b/>
        </w:rPr>
        <w:t xml:space="preserve">3%  e il </w:t>
      </w:r>
      <w:r w:rsidR="008E0390">
        <w:rPr>
          <w:b/>
        </w:rPr>
        <w:t>-</w:t>
      </w:r>
      <w:r w:rsidR="00204DF6" w:rsidRPr="000A3DDF">
        <w:rPr>
          <w:b/>
        </w:rPr>
        <w:t>15%),  per il restante 3</w:t>
      </w:r>
      <w:r w:rsidR="00140D9F">
        <w:rPr>
          <w:b/>
        </w:rPr>
        <w:t>2</w:t>
      </w:r>
      <w:r w:rsidR="00204DF6" w:rsidRPr="000A3DDF">
        <w:rPr>
          <w:b/>
        </w:rPr>
        <w:t>%  il fatturato è risultato stazionario (+/- 2%).</w:t>
      </w:r>
      <w:r w:rsidR="00933A82">
        <w:t xml:space="preserve"> </w:t>
      </w:r>
      <w:r w:rsidR="00854638">
        <w:t xml:space="preserve"> </w:t>
      </w:r>
    </w:p>
    <w:p w14:paraId="7144BB41" w14:textId="74D093B6" w:rsidR="00766159" w:rsidRDefault="00766159" w:rsidP="00B92367">
      <w:pPr>
        <w:jc w:val="both"/>
      </w:pPr>
    </w:p>
    <w:p w14:paraId="00BFAAED" w14:textId="540CF8AC" w:rsidR="00766159" w:rsidRDefault="00766159" w:rsidP="00B92367">
      <w:pPr>
        <w:jc w:val="both"/>
      </w:pPr>
    </w:p>
    <w:p w14:paraId="2CE4F738" w14:textId="17431A68" w:rsidR="00766159" w:rsidRDefault="00766159" w:rsidP="00B92367">
      <w:pPr>
        <w:jc w:val="both"/>
      </w:pPr>
    </w:p>
    <w:p w14:paraId="0458D18D" w14:textId="77777777" w:rsidR="00DD51D1" w:rsidRDefault="00DD51D1" w:rsidP="00B92367">
      <w:pPr>
        <w:jc w:val="both"/>
      </w:pPr>
    </w:p>
    <w:p w14:paraId="787EBEB2" w14:textId="19E337C4" w:rsidR="00140D9F" w:rsidRPr="00E5337A" w:rsidRDefault="00140D9F" w:rsidP="00140D9F">
      <w:pPr>
        <w:jc w:val="both"/>
        <w:rPr>
          <w:b/>
          <w:bCs/>
          <w:i/>
          <w:iCs/>
        </w:rPr>
      </w:pPr>
      <w:r w:rsidRPr="00E5337A">
        <w:rPr>
          <w:b/>
          <w:bCs/>
          <w:i/>
          <w:iCs/>
        </w:rPr>
        <w:t>Andamento del</w:t>
      </w:r>
      <w:r>
        <w:rPr>
          <w:b/>
          <w:bCs/>
          <w:i/>
          <w:iCs/>
        </w:rPr>
        <w:t xml:space="preserve"> fatturato</w:t>
      </w:r>
      <w:r w:rsidRPr="00E5337A">
        <w:rPr>
          <w:b/>
          <w:bCs/>
          <w:i/>
          <w:iCs/>
        </w:rPr>
        <w:t xml:space="preserve"> 202</w:t>
      </w:r>
      <w:r>
        <w:rPr>
          <w:b/>
          <w:bCs/>
          <w:i/>
          <w:iCs/>
        </w:rPr>
        <w:t>1</w:t>
      </w:r>
      <w:r w:rsidRPr="00E5337A">
        <w:rPr>
          <w:b/>
          <w:bCs/>
          <w:i/>
          <w:iCs/>
        </w:rPr>
        <w:t xml:space="preserve"> vs 202</w:t>
      </w:r>
      <w:r>
        <w:rPr>
          <w:b/>
          <w:bCs/>
          <w:i/>
          <w:iCs/>
        </w:rPr>
        <w:t>0</w:t>
      </w:r>
      <w:r w:rsidRPr="00E5337A">
        <w:rPr>
          <w:b/>
          <w:bCs/>
          <w:i/>
          <w:iCs/>
        </w:rPr>
        <w:t xml:space="preserve"> (valori %)</w:t>
      </w:r>
    </w:p>
    <w:p w14:paraId="1F2C106C" w14:textId="77777777" w:rsidR="00140D9F" w:rsidRDefault="00140D9F" w:rsidP="00B92367">
      <w:pPr>
        <w:jc w:val="both"/>
      </w:pPr>
    </w:p>
    <w:p w14:paraId="167DB918" w14:textId="6CD27DA4" w:rsidR="00525218" w:rsidRDefault="00525218" w:rsidP="00B92367">
      <w:pPr>
        <w:jc w:val="both"/>
      </w:pPr>
      <w:r>
        <w:rPr>
          <w:noProof/>
        </w:rPr>
        <w:drawing>
          <wp:inline distT="0" distB="0" distL="0" distR="0" wp14:anchorId="310136F9" wp14:editId="5EFFED9E">
            <wp:extent cx="6061710" cy="2819400"/>
            <wp:effectExtent l="0" t="0" r="0" b="0"/>
            <wp:docPr id="31" name="Grafico 31">
              <a:extLst xmlns:a="http://schemas.openxmlformats.org/drawingml/2006/main">
                <a:ext uri="{FF2B5EF4-FFF2-40B4-BE49-F238E27FC236}">
                  <a16:creationId xmlns:a16="http://schemas.microsoft.com/office/drawing/2014/main" id="{605410EE-67D7-45C8-B916-25EBA28C2D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22AE866" w14:textId="2E1BE100" w:rsidR="00140D9F" w:rsidRDefault="00140D9F" w:rsidP="00B92367">
      <w:pPr>
        <w:jc w:val="both"/>
      </w:pPr>
      <w:r w:rsidRPr="007E72A0">
        <w:rPr>
          <w:i/>
          <w:iCs/>
          <w:sz w:val="20"/>
          <w:szCs w:val="20"/>
        </w:rPr>
        <w:t>Fonte: Indagine Centro studi Guglielmo Tagliacarne</w:t>
      </w:r>
      <w:r w:rsidR="00766159">
        <w:rPr>
          <w:i/>
          <w:iCs/>
          <w:sz w:val="20"/>
          <w:szCs w:val="20"/>
        </w:rPr>
        <w:t>-Unioncamere</w:t>
      </w:r>
      <w:r w:rsidRPr="007E72A0">
        <w:rPr>
          <w:i/>
          <w:iCs/>
          <w:sz w:val="20"/>
          <w:szCs w:val="20"/>
        </w:rPr>
        <w:t xml:space="preserve"> 2022</w:t>
      </w:r>
      <w:r>
        <w:t xml:space="preserve">  </w:t>
      </w:r>
    </w:p>
    <w:p w14:paraId="3580B509" w14:textId="25AA6F54" w:rsidR="007C04FA" w:rsidRDefault="00854638" w:rsidP="00B92367">
      <w:pPr>
        <w:jc w:val="both"/>
      </w:pPr>
      <w:r>
        <w:t xml:space="preserve">Dopo il </w:t>
      </w:r>
      <w:r w:rsidR="007C04FA">
        <w:t xml:space="preserve">2020, </w:t>
      </w:r>
      <w:r>
        <w:t>primo anno d</w:t>
      </w:r>
      <w:r w:rsidR="007C04FA">
        <w:t xml:space="preserve">i </w:t>
      </w:r>
      <w:r>
        <w:t xml:space="preserve"> Covid</w:t>
      </w:r>
      <w:r w:rsidR="007C04FA">
        <w:t xml:space="preserve"> 19, nel 2021, sebbene l’emergenza </w:t>
      </w:r>
      <w:r>
        <w:t xml:space="preserve"> </w:t>
      </w:r>
      <w:r w:rsidR="007C04FA">
        <w:t>non fosse certo finita, la ripresa era già stata consistente, a testimonianza di una buona resilienza delle imprese agricole di fronte alla crisi</w:t>
      </w:r>
      <w:r w:rsidR="00DA4A02">
        <w:t xml:space="preserve"> della Pandemia</w:t>
      </w:r>
      <w:r w:rsidR="007C04FA">
        <w:t>.  Questo risultato non cambia in relazione alla dimensione dell’impresa agricola, al genere e all’età dell’imprenditore, mentre per quanto</w:t>
      </w:r>
      <w:r w:rsidR="00DA4A02">
        <w:t xml:space="preserve"> riguarda la localizzazione  le imprese del Sud e delle Isole fanno registrate un percentuale di crescita del fatturato superiore alla media (60%), mentre quelle del Nord-ovest una inferiore (46%).  Con riferimento all’</w:t>
      </w:r>
      <w:r w:rsidR="00763A4C">
        <w:t>attività</w:t>
      </w:r>
      <w:r w:rsidR="00DA4A02">
        <w:t xml:space="preserve"> svolta, sono invece le imprese dalla Silvicoltura a mostrare percentuali  di crescita più elevate (62%).</w:t>
      </w:r>
    </w:p>
    <w:p w14:paraId="25ADDC6F" w14:textId="77777777" w:rsidR="00D02167" w:rsidRDefault="00933A82" w:rsidP="00B92367">
      <w:pPr>
        <w:jc w:val="both"/>
      </w:pPr>
      <w:r>
        <w:t>Questo risultato è sostanzialmente in linea con quelle degli altri due settori: la percentuale di imprese dell’industria che segnalano un aumento del fatturato è solo leggermente più alta(57%) e quella relativa alle imprese di servizio non è molto più bassa aumento (45%).</w:t>
      </w:r>
    </w:p>
    <w:p w14:paraId="19EE50B7" w14:textId="7B5096EF" w:rsidR="00763A4C" w:rsidRDefault="00933A82" w:rsidP="00B92367">
      <w:pPr>
        <w:jc w:val="both"/>
      </w:pPr>
      <w:r w:rsidRPr="000A3DDF">
        <w:rPr>
          <w:b/>
        </w:rPr>
        <w:t xml:space="preserve">Le previsioni  sulla dinamica de fatturato nel 2022 </w:t>
      </w:r>
      <w:r w:rsidRPr="00854638">
        <w:t>(al momento delle interviste l’anno non era ancora terminato)</w:t>
      </w:r>
      <w:r w:rsidR="00804211" w:rsidRPr="000A3DDF">
        <w:rPr>
          <w:b/>
        </w:rPr>
        <w:t xml:space="preserve"> non si discostano molto rispetto a quelle osservate per il 2021:  il 53% prevede una crescita (in questo caso però  la crescita sostenuta del fatturato , cioè superiore al 15%, è segnalata da un numero maggiore di imprenditori intervistati, 12%),  il 41%  pronostica un fatturato stazionario e il  6% ritiene che diminuirà</w:t>
      </w:r>
      <w:r w:rsidR="00E5093B">
        <w:rPr>
          <w:b/>
        </w:rPr>
        <w:t xml:space="preserve"> (</w:t>
      </w:r>
      <w:r w:rsidR="00A3488C">
        <w:rPr>
          <w:b/>
        </w:rPr>
        <w:t>praticamente assenti i casi di forte diminuzione: 0,4%)</w:t>
      </w:r>
      <w:r w:rsidR="00804211">
        <w:t xml:space="preserve">.  </w:t>
      </w:r>
    </w:p>
    <w:p w14:paraId="5DBB3DF1" w14:textId="73442EC6" w:rsidR="00140D9F" w:rsidRDefault="00140D9F" w:rsidP="00B92367">
      <w:pPr>
        <w:jc w:val="both"/>
      </w:pPr>
    </w:p>
    <w:p w14:paraId="19C3552C" w14:textId="75A73A8B" w:rsidR="00140D9F" w:rsidRDefault="00140D9F" w:rsidP="00B92367">
      <w:pPr>
        <w:jc w:val="both"/>
      </w:pPr>
    </w:p>
    <w:p w14:paraId="6DAC8910" w14:textId="0F130B8C" w:rsidR="00140D9F" w:rsidRDefault="00140D9F" w:rsidP="00B92367">
      <w:pPr>
        <w:jc w:val="both"/>
      </w:pPr>
    </w:p>
    <w:p w14:paraId="68AEC084" w14:textId="66ECE793" w:rsidR="00140D9F" w:rsidRDefault="00140D9F" w:rsidP="00B92367">
      <w:pPr>
        <w:jc w:val="both"/>
      </w:pPr>
    </w:p>
    <w:p w14:paraId="297CD024" w14:textId="3449B179" w:rsidR="00766159" w:rsidRDefault="00766159" w:rsidP="00B92367">
      <w:pPr>
        <w:jc w:val="both"/>
      </w:pPr>
    </w:p>
    <w:p w14:paraId="0A2A31DF" w14:textId="77777777" w:rsidR="00766159" w:rsidRDefault="00766159" w:rsidP="00B92367">
      <w:pPr>
        <w:jc w:val="both"/>
      </w:pPr>
    </w:p>
    <w:p w14:paraId="44870768" w14:textId="6112E02E" w:rsidR="00140D9F" w:rsidRPr="00140D9F" w:rsidRDefault="00140D9F" w:rsidP="00B92367">
      <w:pPr>
        <w:jc w:val="both"/>
        <w:rPr>
          <w:b/>
          <w:bCs/>
          <w:i/>
          <w:iCs/>
        </w:rPr>
      </w:pPr>
      <w:r>
        <w:rPr>
          <w:b/>
          <w:bCs/>
          <w:i/>
          <w:iCs/>
        </w:rPr>
        <w:t>Previsioni</w:t>
      </w:r>
      <w:r w:rsidRPr="00E5337A">
        <w:rPr>
          <w:b/>
          <w:bCs/>
          <w:i/>
          <w:iCs/>
        </w:rPr>
        <w:t xml:space="preserve"> del</w:t>
      </w:r>
      <w:r>
        <w:rPr>
          <w:b/>
          <w:bCs/>
          <w:i/>
          <w:iCs/>
        </w:rPr>
        <w:t xml:space="preserve"> fatturato</w:t>
      </w:r>
      <w:r w:rsidRPr="00E5337A">
        <w:rPr>
          <w:b/>
          <w:bCs/>
          <w:i/>
          <w:iCs/>
        </w:rPr>
        <w:t xml:space="preserve"> 202</w:t>
      </w:r>
      <w:r>
        <w:rPr>
          <w:b/>
          <w:bCs/>
          <w:i/>
          <w:iCs/>
        </w:rPr>
        <w:t>2</w:t>
      </w:r>
      <w:r w:rsidRPr="00E5337A">
        <w:rPr>
          <w:b/>
          <w:bCs/>
          <w:i/>
          <w:iCs/>
        </w:rPr>
        <w:t xml:space="preserve"> vs 202</w:t>
      </w:r>
      <w:r>
        <w:rPr>
          <w:b/>
          <w:bCs/>
          <w:i/>
          <w:iCs/>
        </w:rPr>
        <w:t>1</w:t>
      </w:r>
      <w:r w:rsidRPr="00E5337A">
        <w:rPr>
          <w:b/>
          <w:bCs/>
          <w:i/>
          <w:iCs/>
        </w:rPr>
        <w:t xml:space="preserve"> (valori %)</w:t>
      </w:r>
    </w:p>
    <w:p w14:paraId="1284DD60" w14:textId="267D3B5B" w:rsidR="00140D9F" w:rsidRDefault="00140D9F" w:rsidP="00B92367">
      <w:pPr>
        <w:jc w:val="both"/>
      </w:pPr>
      <w:r>
        <w:rPr>
          <w:noProof/>
        </w:rPr>
        <w:drawing>
          <wp:inline distT="0" distB="0" distL="0" distR="0" wp14:anchorId="3127E58F" wp14:editId="187FF34C">
            <wp:extent cx="6061710" cy="2819400"/>
            <wp:effectExtent l="0" t="0" r="0" b="0"/>
            <wp:docPr id="32" name="Grafico 32">
              <a:extLst xmlns:a="http://schemas.openxmlformats.org/drawingml/2006/main">
                <a:ext uri="{FF2B5EF4-FFF2-40B4-BE49-F238E27FC236}">
                  <a16:creationId xmlns:a16="http://schemas.microsoft.com/office/drawing/2014/main" id="{6EAC2C83-AEEB-45CA-B21F-07371CE36C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D5AC6A9" w14:textId="3E60E442" w:rsidR="00140D9F" w:rsidRDefault="00140D9F" w:rsidP="00B92367">
      <w:pPr>
        <w:jc w:val="both"/>
      </w:pPr>
      <w:r w:rsidRPr="007E72A0">
        <w:rPr>
          <w:i/>
          <w:iCs/>
          <w:sz w:val="20"/>
          <w:szCs w:val="20"/>
        </w:rPr>
        <w:t>Fonte: Indagine Centro studi Guglielmo Tagliacarne</w:t>
      </w:r>
      <w:r w:rsidR="00766159">
        <w:rPr>
          <w:i/>
          <w:iCs/>
          <w:sz w:val="20"/>
          <w:szCs w:val="20"/>
        </w:rPr>
        <w:t>-Unioncamere</w:t>
      </w:r>
      <w:r w:rsidRPr="007E72A0">
        <w:rPr>
          <w:i/>
          <w:iCs/>
          <w:sz w:val="20"/>
          <w:szCs w:val="20"/>
        </w:rPr>
        <w:t xml:space="preserve"> 2022</w:t>
      </w:r>
      <w:r>
        <w:t xml:space="preserve">  </w:t>
      </w:r>
    </w:p>
    <w:p w14:paraId="6A29E012" w14:textId="77777777" w:rsidR="00D02167" w:rsidRDefault="00854638" w:rsidP="00B92367">
      <w:pPr>
        <w:jc w:val="both"/>
      </w:pPr>
      <w:r>
        <w:t>I</w:t>
      </w:r>
      <w:r w:rsidR="003F328A">
        <w:t>l confronto con gli altri due settori indica  un maggiore frequenza di crescita del fatturato delle imprese agricole anche rispetto alle imprese industriali (44%</w:t>
      </w:r>
      <w:r w:rsidR="007C04FA">
        <w:t xml:space="preserve"> di imprese con fatturato in crescita</w:t>
      </w:r>
      <w:r w:rsidR="003F328A">
        <w:t xml:space="preserve">) oltre </w:t>
      </w:r>
      <w:r w:rsidR="000A3DDF">
        <w:t xml:space="preserve">che </w:t>
      </w:r>
      <w:r w:rsidR="003F328A">
        <w:t>a quelle di servizi  (43%).</w:t>
      </w:r>
    </w:p>
    <w:p w14:paraId="638604F4" w14:textId="77777777" w:rsidR="003F328A" w:rsidRPr="00A3488C" w:rsidRDefault="00A3488C" w:rsidP="00B92367">
      <w:pPr>
        <w:jc w:val="both"/>
      </w:pPr>
      <w:r>
        <w:t xml:space="preserve">Anche per il 2022 le </w:t>
      </w:r>
      <w:r w:rsidR="003F328A" w:rsidRPr="00A3488C">
        <w:t xml:space="preserve"> dinamiche del fattur</w:t>
      </w:r>
      <w:r>
        <w:t xml:space="preserve">ato sono  sostanzialmente omogenee per </w:t>
      </w:r>
      <w:r w:rsidR="003F328A" w:rsidRPr="00A3488C">
        <w:t xml:space="preserve">tutte le tipologie di imprese agricole, </w:t>
      </w:r>
      <w:r>
        <w:t>se si esclude una maggiore crescita le imprese femminili  (61%) e per quelle con più di 50 addetti (60%)</w:t>
      </w:r>
      <w:r w:rsidR="00D02167" w:rsidRPr="00A3488C">
        <w:t>.</w:t>
      </w:r>
    </w:p>
    <w:p w14:paraId="2778EC7E" w14:textId="2919D748" w:rsidR="00763A4C" w:rsidRDefault="00D02167" w:rsidP="00B92367">
      <w:pPr>
        <w:jc w:val="both"/>
        <w:rPr>
          <w:b/>
        </w:rPr>
      </w:pPr>
      <w:r>
        <w:t xml:space="preserve">Passando ad esaminare </w:t>
      </w:r>
      <w:r w:rsidRPr="000A3DDF">
        <w:rPr>
          <w:b/>
        </w:rPr>
        <w:t xml:space="preserve">i dati  occupazionali,  nel 2021 si osserva una percentuale  abbastanza contenuta di imprese che dichiarano una crescita degli addetti della propria azienda (9%) </w:t>
      </w:r>
      <w:r w:rsidR="001F52B9" w:rsidRPr="000A3DDF">
        <w:rPr>
          <w:b/>
        </w:rPr>
        <w:t>, dal momento che la grande maggioranze degli intervistati ha dichiarato  una stazionarietà (88%); residuali le segnalazioni di una diminuzione degli oc</w:t>
      </w:r>
      <w:r w:rsidR="009A28EC" w:rsidRPr="000A3DDF">
        <w:rPr>
          <w:b/>
        </w:rPr>
        <w:t xml:space="preserve">cupati (3%). </w:t>
      </w:r>
    </w:p>
    <w:p w14:paraId="5F64A764" w14:textId="3376970C" w:rsidR="00140D9F" w:rsidRDefault="00140D9F" w:rsidP="00B92367">
      <w:pPr>
        <w:jc w:val="both"/>
        <w:rPr>
          <w:b/>
        </w:rPr>
      </w:pPr>
    </w:p>
    <w:p w14:paraId="678D7A87" w14:textId="39A27EB6" w:rsidR="00140D9F" w:rsidRDefault="00140D9F" w:rsidP="00B92367">
      <w:pPr>
        <w:jc w:val="both"/>
        <w:rPr>
          <w:b/>
        </w:rPr>
      </w:pPr>
    </w:p>
    <w:p w14:paraId="29E3D4A6" w14:textId="2461B78D" w:rsidR="00140D9F" w:rsidRDefault="00140D9F" w:rsidP="00B92367">
      <w:pPr>
        <w:jc w:val="both"/>
        <w:rPr>
          <w:b/>
        </w:rPr>
      </w:pPr>
    </w:p>
    <w:p w14:paraId="53CB6E7E" w14:textId="3E5AC28C" w:rsidR="00140D9F" w:rsidRDefault="00140D9F" w:rsidP="00B92367">
      <w:pPr>
        <w:jc w:val="both"/>
        <w:rPr>
          <w:b/>
        </w:rPr>
      </w:pPr>
    </w:p>
    <w:p w14:paraId="3AE6487B" w14:textId="2F77656F" w:rsidR="00140D9F" w:rsidRDefault="00140D9F" w:rsidP="00B92367">
      <w:pPr>
        <w:jc w:val="both"/>
        <w:rPr>
          <w:b/>
        </w:rPr>
      </w:pPr>
    </w:p>
    <w:p w14:paraId="127B297F" w14:textId="19F39C45" w:rsidR="00140D9F" w:rsidRDefault="00140D9F" w:rsidP="00B92367">
      <w:pPr>
        <w:jc w:val="both"/>
        <w:rPr>
          <w:b/>
        </w:rPr>
      </w:pPr>
    </w:p>
    <w:p w14:paraId="31BEC036" w14:textId="7DE0937B" w:rsidR="00140D9F" w:rsidRDefault="00140D9F" w:rsidP="00B92367">
      <w:pPr>
        <w:jc w:val="both"/>
        <w:rPr>
          <w:b/>
        </w:rPr>
      </w:pPr>
    </w:p>
    <w:p w14:paraId="2B86DAE8" w14:textId="6F88CE9E" w:rsidR="00140D9F" w:rsidRDefault="00140D9F" w:rsidP="00B92367">
      <w:pPr>
        <w:jc w:val="both"/>
        <w:rPr>
          <w:b/>
        </w:rPr>
      </w:pPr>
    </w:p>
    <w:p w14:paraId="6E6B8985" w14:textId="2E87928D" w:rsidR="00140D9F" w:rsidRDefault="00140D9F" w:rsidP="00B92367">
      <w:pPr>
        <w:jc w:val="both"/>
        <w:rPr>
          <w:b/>
        </w:rPr>
      </w:pPr>
    </w:p>
    <w:p w14:paraId="220DFFF8" w14:textId="77777777" w:rsidR="00140D9F" w:rsidRDefault="00140D9F" w:rsidP="00B92367">
      <w:pPr>
        <w:jc w:val="both"/>
        <w:rPr>
          <w:b/>
        </w:rPr>
      </w:pPr>
    </w:p>
    <w:p w14:paraId="40CA39D7" w14:textId="59A48D18" w:rsidR="00140D9F" w:rsidRPr="00E5337A" w:rsidRDefault="00140D9F" w:rsidP="00140D9F">
      <w:pPr>
        <w:jc w:val="both"/>
        <w:rPr>
          <w:b/>
          <w:bCs/>
          <w:i/>
          <w:iCs/>
        </w:rPr>
      </w:pPr>
      <w:r w:rsidRPr="00E5337A">
        <w:rPr>
          <w:b/>
          <w:bCs/>
          <w:i/>
          <w:iCs/>
        </w:rPr>
        <w:t>Andamento del</w:t>
      </w:r>
      <w:r>
        <w:rPr>
          <w:b/>
          <w:bCs/>
          <w:i/>
          <w:iCs/>
        </w:rPr>
        <w:t>l’occupazione</w:t>
      </w:r>
      <w:r w:rsidRPr="00E5337A">
        <w:rPr>
          <w:b/>
          <w:bCs/>
          <w:i/>
          <w:iCs/>
        </w:rPr>
        <w:t xml:space="preserve"> 202</w:t>
      </w:r>
      <w:r>
        <w:rPr>
          <w:b/>
          <w:bCs/>
          <w:i/>
          <w:iCs/>
        </w:rPr>
        <w:t>1</w:t>
      </w:r>
      <w:r w:rsidRPr="00E5337A">
        <w:rPr>
          <w:b/>
          <w:bCs/>
          <w:i/>
          <w:iCs/>
        </w:rPr>
        <w:t xml:space="preserve"> vs 202</w:t>
      </w:r>
      <w:r>
        <w:rPr>
          <w:b/>
          <w:bCs/>
          <w:i/>
          <w:iCs/>
        </w:rPr>
        <w:t>0</w:t>
      </w:r>
      <w:r w:rsidRPr="00E5337A">
        <w:rPr>
          <w:b/>
          <w:bCs/>
          <w:i/>
          <w:iCs/>
        </w:rPr>
        <w:t xml:space="preserve"> (valori %)</w:t>
      </w:r>
    </w:p>
    <w:p w14:paraId="64AFA141" w14:textId="77777777" w:rsidR="00140D9F" w:rsidRDefault="00140D9F" w:rsidP="00B92367">
      <w:pPr>
        <w:jc w:val="both"/>
        <w:rPr>
          <w:b/>
        </w:rPr>
      </w:pPr>
    </w:p>
    <w:p w14:paraId="5DF65127" w14:textId="33BCDA21" w:rsidR="00140D9F" w:rsidRDefault="00140D9F" w:rsidP="00B92367">
      <w:pPr>
        <w:jc w:val="both"/>
      </w:pPr>
      <w:r>
        <w:rPr>
          <w:noProof/>
        </w:rPr>
        <w:drawing>
          <wp:inline distT="0" distB="0" distL="0" distR="0" wp14:anchorId="1FCE5247" wp14:editId="150B6A40">
            <wp:extent cx="6061710" cy="2819400"/>
            <wp:effectExtent l="0" t="0" r="0" b="0"/>
            <wp:docPr id="33" name="Grafico 33">
              <a:extLst xmlns:a="http://schemas.openxmlformats.org/drawingml/2006/main">
                <a:ext uri="{FF2B5EF4-FFF2-40B4-BE49-F238E27FC236}">
                  <a16:creationId xmlns:a16="http://schemas.microsoft.com/office/drawing/2014/main" id="{33AA3ECA-2C7E-4A70-B52E-8A1DC10932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F08F7FB" w14:textId="40ECEDBB" w:rsidR="00971443" w:rsidRPr="00971443" w:rsidRDefault="00971443" w:rsidP="00B92367">
      <w:pPr>
        <w:jc w:val="both"/>
        <w:rPr>
          <w:i/>
          <w:iCs/>
          <w:sz w:val="20"/>
          <w:szCs w:val="20"/>
        </w:rPr>
      </w:pPr>
      <w:r w:rsidRPr="007E72A0">
        <w:rPr>
          <w:i/>
          <w:iCs/>
          <w:sz w:val="20"/>
          <w:szCs w:val="20"/>
        </w:rPr>
        <w:t>Fonte: Indagine Centro studi Guglielmo Tagliacarne</w:t>
      </w:r>
      <w:r w:rsidR="00766159">
        <w:rPr>
          <w:i/>
          <w:iCs/>
          <w:sz w:val="20"/>
          <w:szCs w:val="20"/>
        </w:rPr>
        <w:t>-Unioncamere</w:t>
      </w:r>
      <w:r w:rsidRPr="007E72A0">
        <w:rPr>
          <w:i/>
          <w:iCs/>
          <w:sz w:val="20"/>
          <w:szCs w:val="20"/>
        </w:rPr>
        <w:t xml:space="preserve"> 2022</w:t>
      </w:r>
      <w:r>
        <w:t xml:space="preserve">  </w:t>
      </w:r>
    </w:p>
    <w:p w14:paraId="02306402" w14:textId="10A9D252" w:rsidR="00763A4C" w:rsidRDefault="00E70B6B" w:rsidP="00B92367">
      <w:pPr>
        <w:jc w:val="both"/>
        <w:rPr>
          <w:b/>
        </w:rPr>
      </w:pPr>
      <w:r w:rsidRPr="00A3488C">
        <w:t>L’aumento dei dipendenti della propria azienda ha interessato in misura superiore alla media le imprese giovanili (20%), quelle femminili (17%) e quelle con più di 50 addetti (16%).</w:t>
      </w:r>
      <w:r>
        <w:rPr>
          <w:b/>
        </w:rPr>
        <w:t xml:space="preserve"> </w:t>
      </w:r>
      <w:r w:rsidR="009A28EC" w:rsidRPr="000A3DDF">
        <w:rPr>
          <w:b/>
        </w:rPr>
        <w:t xml:space="preserve"> </w:t>
      </w:r>
    </w:p>
    <w:p w14:paraId="157941EC" w14:textId="77777777" w:rsidR="009A28EC" w:rsidRPr="000A3DDF" w:rsidRDefault="009A28EC" w:rsidP="00B92367">
      <w:pPr>
        <w:jc w:val="both"/>
      </w:pPr>
      <w:r w:rsidRPr="000A3DDF">
        <w:t>La dinamica occupazionale delle imprese agricole intervistate risulta meno positiva rispetto a quelle manifatturiere (le segnalazioni di crescita degli occupati  sono pari al 21%) e a quelle terziarie (14%).</w:t>
      </w:r>
    </w:p>
    <w:p w14:paraId="67E2C01E" w14:textId="2A87AEF9" w:rsidR="00763A4C" w:rsidRDefault="009A28EC" w:rsidP="00B92367">
      <w:pPr>
        <w:jc w:val="both"/>
        <w:rPr>
          <w:b/>
        </w:rPr>
      </w:pPr>
      <w:r w:rsidRPr="000A3DDF">
        <w:rPr>
          <w:b/>
        </w:rPr>
        <w:t xml:space="preserve">L’andamento dell’occupazione nelle imprese agricole intervistate </w:t>
      </w:r>
      <w:r w:rsidR="009443BB" w:rsidRPr="000A3DDF">
        <w:rPr>
          <w:b/>
        </w:rPr>
        <w:t xml:space="preserve">migliora nelle previsioni per il 2022:  i casi di crescita dei dipendenti salgono al 14% mentre quelli di diminuzione si riducono al 2%. </w:t>
      </w:r>
    </w:p>
    <w:p w14:paraId="32505FB3" w14:textId="1546FC96" w:rsidR="00971443" w:rsidRPr="00971443" w:rsidRDefault="00971443" w:rsidP="00B92367">
      <w:pPr>
        <w:jc w:val="both"/>
        <w:rPr>
          <w:b/>
          <w:bCs/>
          <w:i/>
          <w:iCs/>
        </w:rPr>
      </w:pPr>
      <w:r>
        <w:rPr>
          <w:b/>
          <w:bCs/>
          <w:i/>
          <w:iCs/>
        </w:rPr>
        <w:t>Previsioni</w:t>
      </w:r>
      <w:r w:rsidRPr="00E5337A">
        <w:rPr>
          <w:b/>
          <w:bCs/>
          <w:i/>
          <w:iCs/>
        </w:rPr>
        <w:t xml:space="preserve"> </w:t>
      </w:r>
      <w:r>
        <w:rPr>
          <w:b/>
          <w:bCs/>
          <w:i/>
          <w:iCs/>
        </w:rPr>
        <w:t>sull’occupazione</w:t>
      </w:r>
      <w:r w:rsidRPr="00E5337A">
        <w:rPr>
          <w:b/>
          <w:bCs/>
          <w:i/>
          <w:iCs/>
        </w:rPr>
        <w:t xml:space="preserve"> 202</w:t>
      </w:r>
      <w:r>
        <w:rPr>
          <w:b/>
          <w:bCs/>
          <w:i/>
          <w:iCs/>
        </w:rPr>
        <w:t>2</w:t>
      </w:r>
      <w:r w:rsidRPr="00E5337A">
        <w:rPr>
          <w:b/>
          <w:bCs/>
          <w:i/>
          <w:iCs/>
        </w:rPr>
        <w:t xml:space="preserve"> vs 202</w:t>
      </w:r>
      <w:r>
        <w:rPr>
          <w:b/>
          <w:bCs/>
          <w:i/>
          <w:iCs/>
        </w:rPr>
        <w:t>1</w:t>
      </w:r>
      <w:r w:rsidRPr="00E5337A">
        <w:rPr>
          <w:b/>
          <w:bCs/>
          <w:i/>
          <w:iCs/>
        </w:rPr>
        <w:t xml:space="preserve"> (valori %)</w:t>
      </w:r>
    </w:p>
    <w:p w14:paraId="40E68770" w14:textId="53774DD9" w:rsidR="00EF2B22" w:rsidRDefault="00971443" w:rsidP="00B92367">
      <w:pPr>
        <w:jc w:val="both"/>
        <w:rPr>
          <w:b/>
        </w:rPr>
      </w:pPr>
      <w:r>
        <w:rPr>
          <w:noProof/>
        </w:rPr>
        <w:drawing>
          <wp:inline distT="0" distB="0" distL="0" distR="0" wp14:anchorId="57434285" wp14:editId="3282E7AE">
            <wp:extent cx="6061710" cy="2895600"/>
            <wp:effectExtent l="0" t="0" r="0" b="0"/>
            <wp:docPr id="34" name="Grafico 34">
              <a:extLst xmlns:a="http://schemas.openxmlformats.org/drawingml/2006/main">
                <a:ext uri="{FF2B5EF4-FFF2-40B4-BE49-F238E27FC236}">
                  <a16:creationId xmlns:a16="http://schemas.microsoft.com/office/drawing/2014/main" id="{A33472A4-5296-48BF-BB9B-DF7938E4FC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2F25713" w14:textId="2B5110B2" w:rsidR="00971443" w:rsidRPr="00971443" w:rsidRDefault="00971443" w:rsidP="00B92367">
      <w:pPr>
        <w:jc w:val="both"/>
        <w:rPr>
          <w:i/>
          <w:iCs/>
          <w:sz w:val="20"/>
          <w:szCs w:val="20"/>
        </w:rPr>
      </w:pPr>
      <w:r w:rsidRPr="007E72A0">
        <w:rPr>
          <w:i/>
          <w:iCs/>
          <w:sz w:val="20"/>
          <w:szCs w:val="20"/>
        </w:rPr>
        <w:t>Fonte: Indagine Centro studi Guglielmo Tagliacarne</w:t>
      </w:r>
      <w:r w:rsidR="00766159">
        <w:rPr>
          <w:i/>
          <w:iCs/>
          <w:sz w:val="20"/>
          <w:szCs w:val="20"/>
        </w:rPr>
        <w:t>-Unioncamere</w:t>
      </w:r>
      <w:r w:rsidRPr="007E72A0">
        <w:rPr>
          <w:i/>
          <w:iCs/>
          <w:sz w:val="20"/>
          <w:szCs w:val="20"/>
        </w:rPr>
        <w:t xml:space="preserve"> 2022</w:t>
      </w:r>
      <w:r>
        <w:t xml:space="preserve">  </w:t>
      </w:r>
    </w:p>
    <w:p w14:paraId="66E6AF8C" w14:textId="77777777" w:rsidR="00D02167" w:rsidRDefault="009443BB" w:rsidP="00B92367">
      <w:pPr>
        <w:jc w:val="both"/>
      </w:pPr>
      <w:r w:rsidRPr="000A3DDF">
        <w:rPr>
          <w:b/>
        </w:rPr>
        <w:t xml:space="preserve">Il confronto con </w:t>
      </w:r>
      <w:r w:rsidR="001F52B9" w:rsidRPr="000A3DDF">
        <w:rPr>
          <w:b/>
        </w:rPr>
        <w:t xml:space="preserve"> </w:t>
      </w:r>
      <w:r w:rsidRPr="000A3DDF">
        <w:rPr>
          <w:b/>
        </w:rPr>
        <w:t>gli altri settori rimane però negativo:</w:t>
      </w:r>
      <w:r>
        <w:t xml:space="preserve"> le previsioni di aumento risultano più elevate </w:t>
      </w:r>
      <w:r w:rsidR="001B73E5">
        <w:t xml:space="preserve">sia per le imprese industriale (20%) sia per le imprese di servizi (16%), anche se bisogna segnalare che parallelamente anche le previsioni di riduzione degli occupati  sono più numerose (rispettivamente 4% e 6%). </w:t>
      </w:r>
      <w:r>
        <w:t xml:space="preserve"> </w:t>
      </w:r>
      <w:r w:rsidR="00E70B6B">
        <w:t>Sono anche per quest’anno le</w:t>
      </w:r>
      <w:r w:rsidR="004A658A">
        <w:t xml:space="preserve"> imprese femminili (27%) e </w:t>
      </w:r>
      <w:r w:rsidR="00E70B6B">
        <w:t>le imprese giovanili (26%)</w:t>
      </w:r>
      <w:r w:rsidR="004A658A">
        <w:t xml:space="preserve"> quelle che fanno registrare le percentuali di aumento degli occupati più elevate. </w:t>
      </w:r>
    </w:p>
    <w:p w14:paraId="3AE98DB0" w14:textId="77777777" w:rsidR="00973D0B" w:rsidRDefault="00973D0B" w:rsidP="00B92367">
      <w:pPr>
        <w:jc w:val="both"/>
      </w:pPr>
    </w:p>
    <w:p w14:paraId="2CED6E22" w14:textId="77777777" w:rsidR="00B3129A" w:rsidRDefault="00B3129A" w:rsidP="00B92367">
      <w:pPr>
        <w:jc w:val="both"/>
      </w:pPr>
    </w:p>
    <w:p w14:paraId="2BA6D5FC" w14:textId="77777777" w:rsidR="00973D0B" w:rsidRDefault="00973D0B" w:rsidP="00B92367">
      <w:pPr>
        <w:jc w:val="both"/>
        <w:rPr>
          <w:b/>
          <w:sz w:val="28"/>
          <w:szCs w:val="28"/>
          <w:u w:val="single"/>
        </w:rPr>
      </w:pPr>
      <w:r w:rsidRPr="00180779">
        <w:rPr>
          <w:b/>
          <w:sz w:val="28"/>
          <w:szCs w:val="28"/>
          <w:u w:val="single"/>
        </w:rPr>
        <w:t>LA RIPRESA POST COVID</w:t>
      </w:r>
    </w:p>
    <w:p w14:paraId="3A6BF0E6" w14:textId="77777777" w:rsidR="00180779" w:rsidRPr="00180779" w:rsidRDefault="00180779" w:rsidP="00B92367">
      <w:pPr>
        <w:jc w:val="both"/>
        <w:rPr>
          <w:b/>
          <w:sz w:val="28"/>
          <w:szCs w:val="28"/>
          <w:u w:val="single"/>
        </w:rPr>
      </w:pPr>
    </w:p>
    <w:p w14:paraId="5A0584EA" w14:textId="6EA23737" w:rsidR="00185487" w:rsidRDefault="002E2776" w:rsidP="00B92367">
      <w:pPr>
        <w:jc w:val="both"/>
      </w:pPr>
      <w:r w:rsidRPr="00477677">
        <w:rPr>
          <w:b/>
        </w:rPr>
        <w:t>Se confrontati con quelli precedenti l’inizio della Pandemia, nel 2021 i livelli produttivi delle aziende agricole intervistate sono risultati superiori nel 6% dei casi</w:t>
      </w:r>
      <w:r w:rsidR="00477677" w:rsidRPr="00477677">
        <w:rPr>
          <w:b/>
        </w:rPr>
        <w:t>,</w:t>
      </w:r>
      <w:r w:rsidRPr="00477677">
        <w:rPr>
          <w:b/>
        </w:rPr>
        <w:t xml:space="preserve">  in linea nell’82% dei casi e inferiori  nell’11%: il saldo tra superiori e</w:t>
      </w:r>
      <w:r w:rsidR="00477677" w:rsidRPr="00477677">
        <w:rPr>
          <w:b/>
        </w:rPr>
        <w:t xml:space="preserve"> inferiori è quindi negativo, a testimonianza del fatto che nel 2021 l’emergenza Covid  non era ancora superata  e incideva ancora negativamente sulle performance delle imprese agricole, soprattutto a causa delle perdurante difficoltà a reperire forza lavoro stagionale</w:t>
      </w:r>
      <w:r w:rsidR="00477677">
        <w:t>.</w:t>
      </w:r>
    </w:p>
    <w:p w14:paraId="602D22B4" w14:textId="139F7E72" w:rsidR="000603C6" w:rsidRPr="000603C6" w:rsidRDefault="000603C6" w:rsidP="00B92367">
      <w:pPr>
        <w:jc w:val="both"/>
        <w:rPr>
          <w:b/>
          <w:bCs/>
          <w:i/>
          <w:iCs/>
        </w:rPr>
      </w:pPr>
      <w:r w:rsidRPr="000603C6">
        <w:rPr>
          <w:b/>
          <w:bCs/>
          <w:i/>
          <w:iCs/>
        </w:rPr>
        <w:t>Livelli produttivi 2021 vs 2019 (valori %)</w:t>
      </w:r>
    </w:p>
    <w:p w14:paraId="2E649EB2" w14:textId="43F8640B" w:rsidR="000603C6" w:rsidRDefault="000603C6" w:rsidP="00B92367">
      <w:pPr>
        <w:jc w:val="both"/>
      </w:pPr>
      <w:r>
        <w:rPr>
          <w:noProof/>
        </w:rPr>
        <w:drawing>
          <wp:inline distT="0" distB="0" distL="0" distR="0" wp14:anchorId="48C5570A" wp14:editId="56165E8E">
            <wp:extent cx="6045200" cy="2912533"/>
            <wp:effectExtent l="0" t="0" r="0" b="0"/>
            <wp:docPr id="36" name="Grafico 36">
              <a:extLst xmlns:a="http://schemas.openxmlformats.org/drawingml/2006/main">
                <a:ext uri="{FF2B5EF4-FFF2-40B4-BE49-F238E27FC236}">
                  <a16:creationId xmlns:a16="http://schemas.microsoft.com/office/drawing/2014/main" id="{5AECB8FF-EEAA-8388-0556-C3F883F5BE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B22DE40" w14:textId="78E90C40" w:rsidR="000603C6" w:rsidRPr="000603C6" w:rsidRDefault="000603C6" w:rsidP="00B92367">
      <w:pPr>
        <w:jc w:val="both"/>
        <w:rPr>
          <w:i/>
          <w:iCs/>
          <w:sz w:val="20"/>
          <w:szCs w:val="20"/>
        </w:rPr>
      </w:pPr>
      <w:r w:rsidRPr="007E72A0">
        <w:rPr>
          <w:i/>
          <w:iCs/>
          <w:sz w:val="20"/>
          <w:szCs w:val="20"/>
        </w:rPr>
        <w:t>Fonte: Indagine Centro studi Guglielmo Tagliacarne</w:t>
      </w:r>
      <w:r w:rsidR="00766159">
        <w:rPr>
          <w:i/>
          <w:iCs/>
          <w:sz w:val="20"/>
          <w:szCs w:val="20"/>
        </w:rPr>
        <w:t>-Unioncamere</w:t>
      </w:r>
      <w:r w:rsidRPr="007E72A0">
        <w:rPr>
          <w:i/>
          <w:iCs/>
          <w:sz w:val="20"/>
          <w:szCs w:val="20"/>
        </w:rPr>
        <w:t xml:space="preserve"> 2022</w:t>
      </w:r>
      <w:r>
        <w:t xml:space="preserve">  </w:t>
      </w:r>
    </w:p>
    <w:p w14:paraId="56F72709" w14:textId="313737CE" w:rsidR="002E2776" w:rsidRDefault="004D221C" w:rsidP="00B92367">
      <w:pPr>
        <w:jc w:val="both"/>
        <w:rPr>
          <w:b/>
        </w:rPr>
      </w:pPr>
      <w:r>
        <w:t xml:space="preserve">Il confronto con le imprese degli altri settori evidenzia percentuali  più elevate di imprese con livelli produttivi superiori  sia per le imprese manifatturiere (27%) sia per quelle terziarie (16%), ma contemporaneamente  </w:t>
      </w:r>
      <w:r w:rsidR="00D9334F">
        <w:t xml:space="preserve">anche le segnalazioni di livelli produttivi inferiori risultano molto più diffuse (32% per le imprese di servizi e 20% per le imprese industriali), ovviamente a scapito dei casi di uguali livelli produttivi (in entrambe i settori pari al 52%). </w:t>
      </w:r>
      <w:r w:rsidR="00D9334F" w:rsidRPr="006825C6">
        <w:rPr>
          <w:b/>
        </w:rPr>
        <w:t>Ciò</w:t>
      </w:r>
      <w:r w:rsidR="00C07AE2" w:rsidRPr="006825C6">
        <w:rPr>
          <w:b/>
        </w:rPr>
        <w:t xml:space="preserve"> significa che l’emergenza da Covid 19 ha avuto un impatto sulle perfomance produttive più forte e più differenziato da impresa a impresa  nella manifattura e nel terziario rispetto al settore agricolo, che d’altra parte non ha mai dovuto subire il blocco produttivo durante tutto il periodo della Pandemia: </w:t>
      </w:r>
      <w:r w:rsidR="006825C6" w:rsidRPr="006825C6">
        <w:rPr>
          <w:b/>
        </w:rPr>
        <w:t xml:space="preserve"> le imprese agricole sono rimaste operative anche nei periodi di lock down, </w:t>
      </w:r>
      <w:r w:rsidR="00612D2C">
        <w:rPr>
          <w:b/>
        </w:rPr>
        <w:t>poiché il settore agricolo,  considerato  come “essenziale”,  non è stato soggetto alle misure restrittive.</w:t>
      </w:r>
    </w:p>
    <w:p w14:paraId="62A1641A" w14:textId="1E95F67D" w:rsidR="00545F08" w:rsidRDefault="006825C6" w:rsidP="00B92367">
      <w:pPr>
        <w:jc w:val="both"/>
        <w:rPr>
          <w:b/>
        </w:rPr>
      </w:pPr>
      <w:r>
        <w:rPr>
          <w:b/>
        </w:rPr>
        <w:t>Le previsioni per il 2022 ev</w:t>
      </w:r>
      <w:r w:rsidR="002D715B">
        <w:rPr>
          <w:b/>
        </w:rPr>
        <w:t>idenziano una</w:t>
      </w:r>
      <w:r>
        <w:rPr>
          <w:b/>
        </w:rPr>
        <w:t xml:space="preserve"> più forte </w:t>
      </w:r>
      <w:r w:rsidR="002D715B">
        <w:rPr>
          <w:b/>
        </w:rPr>
        <w:t xml:space="preserve">ripresa </w:t>
      </w:r>
      <w:r>
        <w:rPr>
          <w:b/>
        </w:rPr>
        <w:t xml:space="preserve">dei livelli produttivi  rispetto al periodo Pre Covid:  le imprese agricole li prevedono superiori salgono al 21%, mentre quelle che li prevedono inferiori scendono al </w:t>
      </w:r>
      <w:r w:rsidR="005540B0">
        <w:rPr>
          <w:b/>
        </w:rPr>
        <w:t>5%</w:t>
      </w:r>
      <w:r w:rsidR="00545F08">
        <w:rPr>
          <w:b/>
        </w:rPr>
        <w:t>.</w:t>
      </w:r>
    </w:p>
    <w:p w14:paraId="7A1DEBAE" w14:textId="38781792" w:rsidR="007E0BB7" w:rsidRPr="007E0BB7" w:rsidRDefault="007E0BB7" w:rsidP="00B92367">
      <w:pPr>
        <w:jc w:val="both"/>
        <w:rPr>
          <w:b/>
          <w:bCs/>
          <w:i/>
          <w:iCs/>
        </w:rPr>
      </w:pPr>
      <w:r w:rsidRPr="000603C6">
        <w:rPr>
          <w:b/>
          <w:bCs/>
          <w:i/>
          <w:iCs/>
        </w:rPr>
        <w:t>Livelli produttivi 202</w:t>
      </w:r>
      <w:r>
        <w:rPr>
          <w:b/>
          <w:bCs/>
          <w:i/>
          <w:iCs/>
        </w:rPr>
        <w:t>2</w:t>
      </w:r>
      <w:r w:rsidRPr="000603C6">
        <w:rPr>
          <w:b/>
          <w:bCs/>
          <w:i/>
          <w:iCs/>
        </w:rPr>
        <w:t xml:space="preserve"> vs 2019 (valori %)</w:t>
      </w:r>
    </w:p>
    <w:p w14:paraId="149B3401" w14:textId="68AFC4AC" w:rsidR="007E0BB7" w:rsidRDefault="007E0BB7" w:rsidP="00B92367">
      <w:pPr>
        <w:jc w:val="both"/>
        <w:rPr>
          <w:b/>
        </w:rPr>
      </w:pPr>
      <w:r>
        <w:rPr>
          <w:noProof/>
        </w:rPr>
        <w:drawing>
          <wp:inline distT="0" distB="0" distL="0" distR="0" wp14:anchorId="5D6F8246" wp14:editId="66201341">
            <wp:extent cx="6087533" cy="2802467"/>
            <wp:effectExtent l="0" t="0" r="0" b="0"/>
            <wp:docPr id="37" name="Grafico 37">
              <a:extLst xmlns:a="http://schemas.openxmlformats.org/drawingml/2006/main">
                <a:ext uri="{FF2B5EF4-FFF2-40B4-BE49-F238E27FC236}">
                  <a16:creationId xmlns:a16="http://schemas.microsoft.com/office/drawing/2014/main" id="{BB7252FD-696A-49DB-9F48-DCC7230E3A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A18FAFD" w14:textId="32C342A9" w:rsidR="006A6D04" w:rsidRPr="006A6D04" w:rsidRDefault="006A6D04" w:rsidP="00B92367">
      <w:pPr>
        <w:jc w:val="both"/>
        <w:rPr>
          <w:i/>
          <w:iCs/>
          <w:sz w:val="20"/>
          <w:szCs w:val="20"/>
        </w:rPr>
      </w:pPr>
      <w:r w:rsidRPr="007E72A0">
        <w:rPr>
          <w:i/>
          <w:iCs/>
          <w:sz w:val="20"/>
          <w:szCs w:val="20"/>
        </w:rPr>
        <w:t>Fonte: Indagine Centro studi Guglielmo Tagliacarne</w:t>
      </w:r>
      <w:r w:rsidR="00766159">
        <w:rPr>
          <w:i/>
          <w:iCs/>
          <w:sz w:val="20"/>
          <w:szCs w:val="20"/>
        </w:rPr>
        <w:t>-Unioncamere</w:t>
      </w:r>
      <w:r w:rsidRPr="007E72A0">
        <w:rPr>
          <w:i/>
          <w:iCs/>
          <w:sz w:val="20"/>
          <w:szCs w:val="20"/>
        </w:rPr>
        <w:t xml:space="preserve"> 2022</w:t>
      </w:r>
      <w:r>
        <w:t xml:space="preserve">  </w:t>
      </w:r>
    </w:p>
    <w:p w14:paraId="21E7341D" w14:textId="0F7B9F4E" w:rsidR="006825C6" w:rsidRDefault="00545F08" w:rsidP="00B92367">
      <w:pPr>
        <w:jc w:val="both"/>
      </w:pPr>
      <w:r>
        <w:rPr>
          <w:b/>
        </w:rPr>
        <w:t>I</w:t>
      </w:r>
      <w:r w:rsidR="005540B0">
        <w:rPr>
          <w:b/>
        </w:rPr>
        <w:t>l saldo risulta quindi positivo (+16%), superiore a quello che si registra per le imprese manifatturiere  (14%</w:t>
      </w:r>
      <w:r w:rsidR="002D715B">
        <w:rPr>
          <w:b/>
        </w:rPr>
        <w:t>, risultato della differenza tra il 29% di livelli produttivi superiori e 15% di inferiori)</w:t>
      </w:r>
      <w:r w:rsidR="005540B0">
        <w:rPr>
          <w:b/>
        </w:rPr>
        <w:t xml:space="preserve"> e largamente più positivo di quello delle imprese di servizi (-5%</w:t>
      </w:r>
      <w:r w:rsidR="002D715B">
        <w:rPr>
          <w:b/>
        </w:rPr>
        <w:t>; superiori 1</w:t>
      </w:r>
      <w:r w:rsidR="00500C4C">
        <w:rPr>
          <w:b/>
        </w:rPr>
        <w:t>7</w:t>
      </w:r>
      <w:r w:rsidR="002D715B">
        <w:rPr>
          <w:b/>
        </w:rPr>
        <w:t>% e inferiori 22%</w:t>
      </w:r>
      <w:r w:rsidR="005540B0">
        <w:rPr>
          <w:b/>
        </w:rPr>
        <w:t>).</w:t>
      </w:r>
      <w:r w:rsidR="002D715B">
        <w:rPr>
          <w:b/>
        </w:rPr>
        <w:t xml:space="preserve"> </w:t>
      </w:r>
      <w:r w:rsidR="002D715B">
        <w:t>Anche in questo caso la percentuale di imprese che dichiarano livelli produttivi uguali è molto maggiore per le imprese agricole (74%)</w:t>
      </w:r>
      <w:r w:rsidR="005540B0">
        <w:rPr>
          <w:b/>
        </w:rPr>
        <w:t xml:space="preserve"> </w:t>
      </w:r>
      <w:r w:rsidR="00500C4C">
        <w:t>rispetto a quelle di servizi (56%) e industriali (53%).</w:t>
      </w:r>
    </w:p>
    <w:p w14:paraId="3DC7025E" w14:textId="77777777" w:rsidR="00500C4C" w:rsidRDefault="00500C4C" w:rsidP="00B92367">
      <w:pPr>
        <w:jc w:val="both"/>
      </w:pPr>
      <w:r w:rsidRPr="00241E43">
        <w:rPr>
          <w:b/>
        </w:rPr>
        <w:t xml:space="preserve">Dopo il rimbalzo Post Covid nel 2022, le previsioni per i due anni successivi mostrano un ripresa dei livelli produttivi  ancora più consistente rispetto all’anno  Pre Pandemia 2019: </w:t>
      </w:r>
      <w:r w:rsidR="00241E43" w:rsidRPr="00241E43">
        <w:rPr>
          <w:b/>
        </w:rPr>
        <w:t xml:space="preserve"> il 24% delle imprese agricole intervistate li prevede superiori per il 2023 e il 29% per il 2024, mentre le segnalazioni di diminuzione risulta sostanzialmente uguali (6%).</w:t>
      </w:r>
      <w:r w:rsidR="00241E43">
        <w:rPr>
          <w:b/>
        </w:rPr>
        <w:t xml:space="preserve"> </w:t>
      </w:r>
      <w:r w:rsidR="00241E43">
        <w:t xml:space="preserve">Questi risultati non si discostano in maniera significativa </w:t>
      </w:r>
      <w:r w:rsidR="00D94C51">
        <w:t>da quelli osservati  per le imprese dell’industria e dei servizi.</w:t>
      </w:r>
    </w:p>
    <w:p w14:paraId="16B2B514" w14:textId="77777777" w:rsidR="00D94C51" w:rsidRDefault="00D94C51" w:rsidP="00B92367">
      <w:pPr>
        <w:jc w:val="both"/>
        <w:rPr>
          <w:b/>
        </w:rPr>
      </w:pPr>
      <w:r w:rsidRPr="00A030DB">
        <w:rPr>
          <w:b/>
        </w:rPr>
        <w:t>La dinamica dei livelli produttivi  rispetto alla fase Pre Covid sopra analizzata risulta simile per tutte le diverse tipologie di impresa agricola: in tutti e quattro gli anni le percentuali osservate non si differ</w:t>
      </w:r>
      <w:r w:rsidR="00A030DB" w:rsidRPr="00A030DB">
        <w:rPr>
          <w:b/>
        </w:rPr>
        <w:t>enziano in maniera significativa</w:t>
      </w:r>
      <w:r w:rsidR="00110066">
        <w:rPr>
          <w:b/>
        </w:rPr>
        <w:t xml:space="preserve"> rispetto alla media in relazione </w:t>
      </w:r>
      <w:r w:rsidRPr="00A030DB">
        <w:rPr>
          <w:b/>
        </w:rPr>
        <w:t xml:space="preserve"> all’attività svolta, alla localizzazione, </w:t>
      </w:r>
      <w:r w:rsidR="004A658A">
        <w:rPr>
          <w:b/>
        </w:rPr>
        <w:t xml:space="preserve">alla dimensione e </w:t>
      </w:r>
      <w:r w:rsidRPr="00A030DB">
        <w:rPr>
          <w:b/>
        </w:rPr>
        <w:t xml:space="preserve"> al</w:t>
      </w:r>
      <w:r w:rsidR="004A658A">
        <w:rPr>
          <w:b/>
        </w:rPr>
        <w:t xml:space="preserve"> genere dell’imprenditor</w:t>
      </w:r>
      <w:r w:rsidRPr="00A030DB">
        <w:rPr>
          <w:b/>
        </w:rPr>
        <w:t>e.</w:t>
      </w:r>
      <w:r w:rsidR="00A030DB" w:rsidRPr="00A030DB">
        <w:rPr>
          <w:b/>
        </w:rPr>
        <w:t xml:space="preserve"> Solo </w:t>
      </w:r>
      <w:r w:rsidR="00110066">
        <w:rPr>
          <w:b/>
        </w:rPr>
        <w:t xml:space="preserve">l’età dell’imprenditore incide sulla dinamica dei livelli produttivi: in tutti e quattro gli anni </w:t>
      </w:r>
      <w:r w:rsidR="00A030DB" w:rsidRPr="00A030DB">
        <w:rPr>
          <w:b/>
        </w:rPr>
        <w:t xml:space="preserve">si riscontrano performance produttive </w:t>
      </w:r>
      <w:r w:rsidR="00110066">
        <w:rPr>
          <w:b/>
        </w:rPr>
        <w:t xml:space="preserve">decisamente </w:t>
      </w:r>
      <w:r w:rsidR="00A030DB" w:rsidRPr="00A030DB">
        <w:rPr>
          <w:b/>
        </w:rPr>
        <w:t>più positive per le imprese giovanili.</w:t>
      </w:r>
    </w:p>
    <w:p w14:paraId="60D98D71" w14:textId="77777777" w:rsidR="00612D2C" w:rsidRPr="00612D2C" w:rsidRDefault="00612D2C" w:rsidP="00B92367">
      <w:pPr>
        <w:jc w:val="both"/>
      </w:pPr>
      <w:r>
        <w:t xml:space="preserve">Nel complesso possiamo affermare </w:t>
      </w:r>
      <w:r w:rsidR="006527FE">
        <w:t>che le imprese agricole hanno mostrato una buona resilienza rispetto all’emergenza da Covid 19.</w:t>
      </w:r>
      <w:r>
        <w:t xml:space="preserve"> </w:t>
      </w:r>
    </w:p>
    <w:p w14:paraId="15140557" w14:textId="3454C4C5" w:rsidR="00545F08" w:rsidRDefault="00114DBE" w:rsidP="00B92367">
      <w:pPr>
        <w:jc w:val="both"/>
      </w:pPr>
      <w:r w:rsidRPr="00A030DB">
        <w:rPr>
          <w:b/>
        </w:rPr>
        <w:t>Le imprese agricole intervistate non s</w:t>
      </w:r>
      <w:r w:rsidR="00D70174" w:rsidRPr="00A030DB">
        <w:rPr>
          <w:b/>
        </w:rPr>
        <w:t>embrano</w:t>
      </w:r>
      <w:r w:rsidR="00180779">
        <w:rPr>
          <w:b/>
        </w:rPr>
        <w:t xml:space="preserve">, però, </w:t>
      </w:r>
      <w:r w:rsidR="00D70174" w:rsidRPr="00A030DB">
        <w:rPr>
          <w:b/>
        </w:rPr>
        <w:t xml:space="preserve"> essere ancora</w:t>
      </w:r>
      <w:r w:rsidRPr="00A030DB">
        <w:rPr>
          <w:b/>
        </w:rPr>
        <w:t xml:space="preserve"> pronte ad utilizzare i contributi messi in campo dal Piano Nazionale di Ripresa e Resilienza (PNRR)</w:t>
      </w:r>
      <w:r w:rsidR="001B777C" w:rsidRPr="00A030DB">
        <w:rPr>
          <w:b/>
        </w:rPr>
        <w:t>:  solo il  16% afferma di essersi già attivata</w:t>
      </w:r>
      <w:r w:rsidRPr="00A030DB">
        <w:rPr>
          <w:b/>
        </w:rPr>
        <w:t xml:space="preserve"> </w:t>
      </w:r>
      <w:r w:rsidR="001B777C" w:rsidRPr="00A030DB">
        <w:rPr>
          <w:b/>
        </w:rPr>
        <w:t xml:space="preserve">per aderire ai progetti del PNRR e un altro 15% sostiene di avere in programma di attivarsi, ma ben il </w:t>
      </w:r>
      <w:r w:rsidR="00F25B92">
        <w:rPr>
          <w:b/>
        </w:rPr>
        <w:t>69</w:t>
      </w:r>
      <w:r w:rsidR="001B777C" w:rsidRPr="00A030DB">
        <w:rPr>
          <w:b/>
        </w:rPr>
        <w:t>% dichiara di non volere (o potere) accedere a questi finanziamenti</w:t>
      </w:r>
      <w:r w:rsidR="001B777C">
        <w:t xml:space="preserve">.  </w:t>
      </w:r>
    </w:p>
    <w:p w14:paraId="23DE21F5" w14:textId="57E5FA03" w:rsidR="006A6D04" w:rsidRPr="006A6D04" w:rsidRDefault="006A6D04" w:rsidP="00B92367">
      <w:pPr>
        <w:jc w:val="both"/>
        <w:rPr>
          <w:b/>
          <w:bCs/>
          <w:i/>
          <w:iCs/>
        </w:rPr>
      </w:pPr>
      <w:r w:rsidRPr="00842372">
        <w:rPr>
          <w:b/>
          <w:bCs/>
          <w:i/>
          <w:iCs/>
        </w:rPr>
        <w:t>Accesso al Piano Nazionale di Ripresa e Resilienza (valori %)</w:t>
      </w:r>
    </w:p>
    <w:p w14:paraId="3C1D938D" w14:textId="6B555E9D" w:rsidR="00545F08" w:rsidRDefault="00842372" w:rsidP="00B92367">
      <w:pPr>
        <w:jc w:val="both"/>
      </w:pPr>
      <w:r>
        <w:rPr>
          <w:noProof/>
        </w:rPr>
        <w:drawing>
          <wp:inline distT="0" distB="0" distL="0" distR="0" wp14:anchorId="451B981C" wp14:editId="6D5E6537">
            <wp:extent cx="6037385" cy="2778369"/>
            <wp:effectExtent l="0" t="0" r="0" b="0"/>
            <wp:docPr id="20" name="Grafico 20">
              <a:extLst xmlns:a="http://schemas.openxmlformats.org/drawingml/2006/main">
                <a:ext uri="{FF2B5EF4-FFF2-40B4-BE49-F238E27FC236}">
                  <a16:creationId xmlns:a16="http://schemas.microsoft.com/office/drawing/2014/main" id="{994CCEC1-D65D-4E23-5C41-A526325B3B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641C05BB" w14:textId="6C63C3D7" w:rsidR="006A6D04" w:rsidRPr="006A6D04" w:rsidRDefault="006A6D04" w:rsidP="00B92367">
      <w:pPr>
        <w:jc w:val="both"/>
        <w:rPr>
          <w:i/>
          <w:iCs/>
          <w:sz w:val="20"/>
          <w:szCs w:val="20"/>
        </w:rPr>
      </w:pPr>
      <w:r w:rsidRPr="007E72A0">
        <w:rPr>
          <w:i/>
          <w:iCs/>
          <w:sz w:val="20"/>
          <w:szCs w:val="20"/>
        </w:rPr>
        <w:t>Fonte: Indagine Centro studi Guglielmo Tagliacarne</w:t>
      </w:r>
      <w:r w:rsidR="00766159">
        <w:rPr>
          <w:i/>
          <w:iCs/>
          <w:sz w:val="20"/>
          <w:szCs w:val="20"/>
        </w:rPr>
        <w:t>-Unioncamere</w:t>
      </w:r>
      <w:r w:rsidRPr="007E72A0">
        <w:rPr>
          <w:i/>
          <w:iCs/>
          <w:sz w:val="20"/>
          <w:szCs w:val="20"/>
        </w:rPr>
        <w:t xml:space="preserve"> 2022</w:t>
      </w:r>
      <w:r>
        <w:t xml:space="preserve">  </w:t>
      </w:r>
    </w:p>
    <w:p w14:paraId="37ADCE62" w14:textId="5E6BCE2C" w:rsidR="00E55875" w:rsidRDefault="001B777C" w:rsidP="00B92367">
      <w:pPr>
        <w:jc w:val="both"/>
      </w:pPr>
      <w:r>
        <w:t xml:space="preserve">Questa situazione accomuna quasi tutte le tipologie di impresa agricola, se si eccettuano </w:t>
      </w:r>
      <w:r w:rsidR="004326E7">
        <w:t>piccoli scostamenti dalla media  che riguardano</w:t>
      </w:r>
      <w:r w:rsidR="00D70174">
        <w:t xml:space="preserve"> in particolare</w:t>
      </w:r>
      <w:r w:rsidR="004326E7">
        <w:t xml:space="preserve"> le imprese tra i 10 e i 50 addetti (che nel 23% dei casi dichiarano di essersi  </w:t>
      </w:r>
      <w:r>
        <w:t xml:space="preserve"> </w:t>
      </w:r>
      <w:r w:rsidR="004326E7">
        <w:t>già attivate e per un altro 20%  di avere in programma di farlo).</w:t>
      </w:r>
      <w:r w:rsidR="00F63905">
        <w:t xml:space="preserve"> </w:t>
      </w:r>
      <w:r w:rsidR="00D70174">
        <w:t xml:space="preserve"> Questo ritardo appare ancora più evidente se si confrontano i risultati con quelli degli alt</w:t>
      </w:r>
      <w:r w:rsidR="00A030DB">
        <w:t>ri settori</w:t>
      </w:r>
      <w:r w:rsidR="00D70174">
        <w:t>: le imprese di servizi sostengono di essersi già attivate nel 78% delle risposte</w:t>
      </w:r>
      <w:r w:rsidR="00D53810">
        <w:t>, il 13% ha in programma di attivarsi e solo il 10%  dichiara di non volere sfruttare i contributi del PNRR;  un po’ meno positivi  i dati riguardanti le imprese manifatturiere, ma anche in questo caso la percentuale di imprese che si sono già attivate risulta nettamente superiore a quella delle imprese agricole (68%), mentre il 16% ha in programma di attivarsi e il restante 16% non ha intenzione di farlo.</w:t>
      </w:r>
    </w:p>
    <w:p w14:paraId="21D348D0" w14:textId="77777777" w:rsidR="00762318" w:rsidRDefault="00762318" w:rsidP="00B92367">
      <w:pPr>
        <w:jc w:val="both"/>
      </w:pPr>
    </w:p>
    <w:p w14:paraId="419D2AC7" w14:textId="77777777" w:rsidR="00E55875" w:rsidRDefault="00E55875" w:rsidP="00B92367">
      <w:pPr>
        <w:jc w:val="both"/>
        <w:rPr>
          <w:b/>
          <w:sz w:val="28"/>
          <w:szCs w:val="28"/>
          <w:u w:val="single"/>
        </w:rPr>
      </w:pPr>
      <w:r w:rsidRPr="00B84D57">
        <w:rPr>
          <w:b/>
          <w:sz w:val="28"/>
          <w:szCs w:val="28"/>
          <w:u w:val="single"/>
        </w:rPr>
        <w:t>COSTI DELLA PA</w:t>
      </w:r>
    </w:p>
    <w:p w14:paraId="457EFE9E" w14:textId="77777777" w:rsidR="00B84D57" w:rsidRPr="00B84D57" w:rsidRDefault="00B84D57" w:rsidP="00B92367">
      <w:pPr>
        <w:jc w:val="both"/>
        <w:rPr>
          <w:b/>
          <w:sz w:val="28"/>
          <w:szCs w:val="28"/>
          <w:u w:val="single"/>
        </w:rPr>
      </w:pPr>
    </w:p>
    <w:p w14:paraId="33FAC393" w14:textId="65DFBF52" w:rsidR="00DC7249" w:rsidRDefault="001342DA" w:rsidP="00B92367">
      <w:pPr>
        <w:jc w:val="both"/>
      </w:pPr>
      <w:r w:rsidRPr="00FB2F70">
        <w:rPr>
          <w:b/>
        </w:rPr>
        <w:t xml:space="preserve">Nelle imprese agricole intervistate </w:t>
      </w:r>
      <w:r w:rsidR="008623DB" w:rsidRPr="00FB2F70">
        <w:rPr>
          <w:b/>
        </w:rPr>
        <w:t>i rapporti con la P</w:t>
      </w:r>
      <w:r w:rsidRPr="00FB2F70">
        <w:rPr>
          <w:b/>
        </w:rPr>
        <w:t xml:space="preserve">ubblica </w:t>
      </w:r>
      <w:r w:rsidR="008623DB" w:rsidRPr="00FB2F70">
        <w:rPr>
          <w:b/>
        </w:rPr>
        <w:t>A</w:t>
      </w:r>
      <w:r w:rsidRPr="00FB2F70">
        <w:rPr>
          <w:b/>
        </w:rPr>
        <w:t>mministrazione per l’assolvi</w:t>
      </w:r>
      <w:r w:rsidR="00F20121" w:rsidRPr="00FB2F70">
        <w:rPr>
          <w:b/>
        </w:rPr>
        <w:t>mento degli adempimenti amministr</w:t>
      </w:r>
      <w:r w:rsidRPr="00FB2F70">
        <w:rPr>
          <w:b/>
        </w:rPr>
        <w:t xml:space="preserve">ativi vengono </w:t>
      </w:r>
      <w:r w:rsidR="00C50FD0" w:rsidRPr="00FB2F70">
        <w:rPr>
          <w:b/>
        </w:rPr>
        <w:t>delegati all’esterno nel 76% dei casi (il 59%  ricorrendo a professionisti/consulenti esterni e il 1</w:t>
      </w:r>
      <w:r w:rsidR="00BD529F">
        <w:rPr>
          <w:b/>
        </w:rPr>
        <w:t>7</w:t>
      </w:r>
      <w:r w:rsidR="00C50FD0" w:rsidRPr="00FB2F70">
        <w:rPr>
          <w:b/>
        </w:rPr>
        <w:t xml:space="preserve">% rivolgendosi alle Associazioni di categoria </w:t>
      </w:r>
      <w:r w:rsidRPr="00FB2F70">
        <w:rPr>
          <w:b/>
        </w:rPr>
        <w:t xml:space="preserve"> </w:t>
      </w:r>
      <w:r w:rsidR="00C50FD0" w:rsidRPr="00FB2F70">
        <w:rPr>
          <w:b/>
        </w:rPr>
        <w:t>e ai Centri di Assistenza Agricola), solo il 15%  delle aziende ricorre solo a personale interno e il restante 9% sia a personale interno che esterno.</w:t>
      </w:r>
      <w:r w:rsidR="00C50FD0">
        <w:t xml:space="preserve">  </w:t>
      </w:r>
    </w:p>
    <w:p w14:paraId="53BB8B7F" w14:textId="68D15C2A" w:rsidR="00BD529F" w:rsidRDefault="00BD529F" w:rsidP="00B92367">
      <w:pPr>
        <w:jc w:val="both"/>
      </w:pPr>
    </w:p>
    <w:p w14:paraId="42C9A840" w14:textId="77777777" w:rsidR="00DD51D1" w:rsidRDefault="00DD51D1" w:rsidP="00B92367">
      <w:pPr>
        <w:jc w:val="both"/>
      </w:pPr>
    </w:p>
    <w:p w14:paraId="1D76012E" w14:textId="2037C250" w:rsidR="00BD529F" w:rsidRPr="00BD529F" w:rsidRDefault="00BD529F" w:rsidP="00B92367">
      <w:pPr>
        <w:jc w:val="both"/>
        <w:rPr>
          <w:b/>
          <w:bCs/>
          <w:i/>
          <w:iCs/>
        </w:rPr>
      </w:pPr>
      <w:r w:rsidRPr="00BD529F">
        <w:rPr>
          <w:b/>
          <w:bCs/>
          <w:i/>
          <w:iCs/>
        </w:rPr>
        <w:t>Soggetti che seguono i rapporti con la Pubblica amministrazione (valori %)</w:t>
      </w:r>
    </w:p>
    <w:p w14:paraId="28C541B5" w14:textId="7758C60E" w:rsidR="00BD529F" w:rsidRDefault="00BD529F" w:rsidP="00B92367">
      <w:pPr>
        <w:jc w:val="both"/>
      </w:pPr>
      <w:r>
        <w:rPr>
          <w:noProof/>
        </w:rPr>
        <w:drawing>
          <wp:inline distT="0" distB="0" distL="0" distR="0" wp14:anchorId="0FBB7077" wp14:editId="24D63483">
            <wp:extent cx="6019800" cy="3043237"/>
            <wp:effectExtent l="0" t="0" r="0" b="5080"/>
            <wp:docPr id="39" name="Grafico 39">
              <a:extLst xmlns:a="http://schemas.openxmlformats.org/drawingml/2006/main">
                <a:ext uri="{FF2B5EF4-FFF2-40B4-BE49-F238E27FC236}">
                  <a16:creationId xmlns:a16="http://schemas.microsoft.com/office/drawing/2014/main" id="{D5AC1C01-5A7E-F415-4291-7DFE50FB3F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3B31022" w14:textId="694693C0" w:rsidR="00BD529F" w:rsidRPr="00BD529F" w:rsidRDefault="00BD529F" w:rsidP="00B92367">
      <w:pPr>
        <w:jc w:val="both"/>
        <w:rPr>
          <w:i/>
          <w:iCs/>
          <w:sz w:val="20"/>
          <w:szCs w:val="20"/>
        </w:rPr>
      </w:pPr>
      <w:r w:rsidRPr="007E72A0">
        <w:rPr>
          <w:i/>
          <w:iCs/>
          <w:sz w:val="20"/>
          <w:szCs w:val="20"/>
        </w:rPr>
        <w:t>Fonte: Indagine Centro studi Guglielmo Tagliacarne</w:t>
      </w:r>
      <w:r w:rsidR="00766159">
        <w:rPr>
          <w:i/>
          <w:iCs/>
          <w:sz w:val="20"/>
          <w:szCs w:val="20"/>
        </w:rPr>
        <w:t>-Unioncamere</w:t>
      </w:r>
      <w:r w:rsidRPr="007E72A0">
        <w:rPr>
          <w:i/>
          <w:iCs/>
          <w:sz w:val="20"/>
          <w:szCs w:val="20"/>
        </w:rPr>
        <w:t xml:space="preserve"> 2022</w:t>
      </w:r>
      <w:r>
        <w:t xml:space="preserve">  </w:t>
      </w:r>
    </w:p>
    <w:p w14:paraId="0F4D5EE0" w14:textId="77777777" w:rsidR="00762318" w:rsidRDefault="00C50FD0" w:rsidP="00B92367">
      <w:pPr>
        <w:jc w:val="both"/>
      </w:pPr>
      <w:r>
        <w:t xml:space="preserve">Questi risultati confermano </w:t>
      </w:r>
      <w:r w:rsidR="008623DB">
        <w:t>le difficoltà di rapporto delle imprese agricole con la Pubblica Amministrazione e il forte aumento di carico burocratico che ha interessato le imprese agricole in questi ultimi 15 anni</w:t>
      </w:r>
      <w:r w:rsidR="001E7D7C">
        <w:t>.</w:t>
      </w:r>
      <w:r w:rsidR="00F20121">
        <w:t xml:space="preserve"> Problemi che sembrano essere meno presenti (o sono stati già risolti nel passato) dalle imprese degli altri settori: molto più alte risultano le percentuali di imprese che dichiarano che i rapporti con la PA sono seguiti solo da personale interno sia nelle imprese del manifatturiero (38%) che in quelle terziarie (40%) </w:t>
      </w:r>
      <w:r w:rsidR="00B71244">
        <w:t>e parimenti più alte le</w:t>
      </w:r>
      <w:r w:rsidR="00FB2F70">
        <w:t xml:space="preserve"> percentuali  anche per quanto riguarda il ricorso sia a personale interno che a consulenti esterni (rispettivamente 33% e 23%).</w:t>
      </w:r>
      <w:r w:rsidR="00B71244">
        <w:t xml:space="preserve">  </w:t>
      </w:r>
    </w:p>
    <w:p w14:paraId="263D7BA3" w14:textId="77777777" w:rsidR="00184EF3" w:rsidRDefault="00416B94" w:rsidP="00B92367">
      <w:pPr>
        <w:jc w:val="both"/>
      </w:pPr>
      <w:r>
        <w:t>La difficoltà ad utilizzare risorse interne per gestire i rapporti con la PA riguarda tutte le tipologie di imprese a prescindere dall’attività svolta, dalla localizzazione, dalla dimensione e dall’età e dal genere dell’imprenditore: persino le imprese di maggiori dimensioni (oltre i 50 addetti) dichiarano di  ricorrere all’</w:t>
      </w:r>
      <w:r w:rsidR="0075458B">
        <w:t>est</w:t>
      </w:r>
      <w:r>
        <w:t>erno</w:t>
      </w:r>
      <w:r w:rsidR="0075458B">
        <w:t xml:space="preserve"> nel 71% dei casi (57% solo consulenti esterni e 14% Associazioni di categoria e CAA).</w:t>
      </w:r>
      <w:r w:rsidR="00184EF3">
        <w:t xml:space="preserve">  </w:t>
      </w:r>
    </w:p>
    <w:p w14:paraId="1FBCE1E7" w14:textId="73AB5174" w:rsidR="00DC7249" w:rsidRDefault="00184EF3" w:rsidP="00B92367">
      <w:pPr>
        <w:jc w:val="both"/>
      </w:pPr>
      <w:r w:rsidRPr="00C42947">
        <w:rPr>
          <w:b/>
        </w:rPr>
        <w:t xml:space="preserve">Nel caso di ricorso ad consulenti esterni </w:t>
      </w:r>
      <w:r w:rsidR="00741148" w:rsidRPr="00C42947">
        <w:rPr>
          <w:b/>
        </w:rPr>
        <w:t>(</w:t>
      </w:r>
      <w:r w:rsidRPr="00C42947">
        <w:rPr>
          <w:b/>
        </w:rPr>
        <w:t>in maniera esclusiva o insieme a personale interno</w:t>
      </w:r>
      <w:r w:rsidR="00741148" w:rsidRPr="00C42947">
        <w:rPr>
          <w:b/>
        </w:rPr>
        <w:t>)</w:t>
      </w:r>
      <w:r w:rsidRPr="00C42947">
        <w:rPr>
          <w:b/>
        </w:rPr>
        <w:t xml:space="preserve"> per gestire i rapporti con la PA, è stato chiesto quale è l’ammontare dei costi sostenuti </w:t>
      </w:r>
      <w:r w:rsidR="0075458B" w:rsidRPr="00C42947">
        <w:rPr>
          <w:b/>
        </w:rPr>
        <w:t xml:space="preserve"> </w:t>
      </w:r>
      <w:r w:rsidRPr="00C42947">
        <w:rPr>
          <w:b/>
        </w:rPr>
        <w:t>per questo tipo di affidamenti: solo il 5% degli intervistati dichiara di avere speso più di  € 10.000</w:t>
      </w:r>
      <w:r w:rsidR="00EB5095" w:rsidRPr="00C42947">
        <w:rPr>
          <w:b/>
        </w:rPr>
        <w:t xml:space="preserve">, quasi due terzi  si collocano nella fascia tra 2.500€ e 5.000€ (62%), il </w:t>
      </w:r>
      <w:r w:rsidR="00077E22">
        <w:rPr>
          <w:b/>
        </w:rPr>
        <w:t>29</w:t>
      </w:r>
      <w:r w:rsidR="00EB5095" w:rsidRPr="00C42947">
        <w:rPr>
          <w:b/>
        </w:rPr>
        <w:t>% in quella i 5.000€ e i 10.000€ e, infine, il 4% afferma di spendere meno di 2.500€.</w:t>
      </w:r>
      <w:r w:rsidR="00EB5095">
        <w:t xml:space="preserve"> </w:t>
      </w:r>
    </w:p>
    <w:p w14:paraId="55B099E8" w14:textId="730D3690" w:rsidR="00077E22" w:rsidRDefault="00077E22" w:rsidP="00B92367">
      <w:pPr>
        <w:jc w:val="both"/>
      </w:pPr>
    </w:p>
    <w:p w14:paraId="5CF337FC" w14:textId="79B79A2E" w:rsidR="00077E22" w:rsidRDefault="00077E22" w:rsidP="00B92367">
      <w:pPr>
        <w:jc w:val="both"/>
      </w:pPr>
    </w:p>
    <w:p w14:paraId="13A2DC89" w14:textId="69F33721" w:rsidR="00077E22" w:rsidRDefault="00077E22" w:rsidP="00B92367">
      <w:pPr>
        <w:jc w:val="both"/>
      </w:pPr>
    </w:p>
    <w:p w14:paraId="3296D225" w14:textId="5F089128" w:rsidR="00077E22" w:rsidRDefault="00077E22" w:rsidP="00B92367">
      <w:pPr>
        <w:jc w:val="both"/>
      </w:pPr>
    </w:p>
    <w:p w14:paraId="737A0A45" w14:textId="14FF132E" w:rsidR="00077E22" w:rsidRDefault="00077E22" w:rsidP="00B92367">
      <w:pPr>
        <w:jc w:val="both"/>
      </w:pPr>
    </w:p>
    <w:p w14:paraId="188F8675" w14:textId="24E225EB" w:rsidR="00077E22" w:rsidRDefault="00077E22" w:rsidP="00B92367">
      <w:pPr>
        <w:jc w:val="both"/>
      </w:pPr>
      <w:r>
        <w:rPr>
          <w:b/>
        </w:rPr>
        <w:t>C</w:t>
      </w:r>
      <w:r w:rsidRPr="00C42947">
        <w:rPr>
          <w:b/>
        </w:rPr>
        <w:t>osti</w:t>
      </w:r>
      <w:r>
        <w:rPr>
          <w:b/>
        </w:rPr>
        <w:t xml:space="preserve"> </w:t>
      </w:r>
      <w:r w:rsidRPr="00C42947">
        <w:rPr>
          <w:b/>
        </w:rPr>
        <w:t xml:space="preserve">di affidamenti sostenuti </w:t>
      </w:r>
      <w:r>
        <w:rPr>
          <w:b/>
        </w:rPr>
        <w:t>per sostenere i rapporti con la PA (valori %)</w:t>
      </w:r>
    </w:p>
    <w:p w14:paraId="21203B4D" w14:textId="77777777" w:rsidR="00077E22" w:rsidRDefault="00077E22" w:rsidP="00B92367">
      <w:pPr>
        <w:jc w:val="both"/>
      </w:pPr>
    </w:p>
    <w:p w14:paraId="1396CD94" w14:textId="1EA71138" w:rsidR="00077E22" w:rsidRDefault="00077E22" w:rsidP="00B92367">
      <w:pPr>
        <w:jc w:val="both"/>
      </w:pPr>
      <w:r>
        <w:rPr>
          <w:noProof/>
        </w:rPr>
        <w:drawing>
          <wp:inline distT="0" distB="0" distL="0" distR="0" wp14:anchorId="5A4BE3C6" wp14:editId="2C6DFF51">
            <wp:extent cx="6019800" cy="3038042"/>
            <wp:effectExtent l="0" t="0" r="0" b="0"/>
            <wp:docPr id="40" name="Grafico 40">
              <a:extLst xmlns:a="http://schemas.openxmlformats.org/drawingml/2006/main">
                <a:ext uri="{FF2B5EF4-FFF2-40B4-BE49-F238E27FC236}">
                  <a16:creationId xmlns:a16="http://schemas.microsoft.com/office/drawing/2014/main" id="{F84AF261-3581-4F53-A420-D8E20EC9AB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A4C5A41" w14:textId="3127D86D" w:rsidR="00077E22" w:rsidRPr="00077E22" w:rsidRDefault="00077E22" w:rsidP="00B92367">
      <w:pPr>
        <w:jc w:val="both"/>
        <w:rPr>
          <w:i/>
          <w:iCs/>
          <w:sz w:val="20"/>
          <w:szCs w:val="20"/>
        </w:rPr>
      </w:pPr>
      <w:r w:rsidRPr="007E72A0">
        <w:rPr>
          <w:i/>
          <w:iCs/>
          <w:sz w:val="20"/>
          <w:szCs w:val="20"/>
        </w:rPr>
        <w:t>Fonte: Indagine Centro studi Guglielmo Tagliacarne</w:t>
      </w:r>
      <w:r w:rsidR="00766159">
        <w:rPr>
          <w:i/>
          <w:iCs/>
          <w:sz w:val="20"/>
          <w:szCs w:val="20"/>
        </w:rPr>
        <w:t>-Unioncamere</w:t>
      </w:r>
      <w:r w:rsidRPr="007E72A0">
        <w:rPr>
          <w:i/>
          <w:iCs/>
          <w:sz w:val="20"/>
          <w:szCs w:val="20"/>
        </w:rPr>
        <w:t xml:space="preserve"> 2022</w:t>
      </w:r>
      <w:r>
        <w:t xml:space="preserve">  </w:t>
      </w:r>
    </w:p>
    <w:p w14:paraId="3D4ECF47" w14:textId="77777777" w:rsidR="001342DA" w:rsidRDefault="00EB5095" w:rsidP="00B92367">
      <w:pPr>
        <w:jc w:val="both"/>
      </w:pPr>
      <w:r>
        <w:t xml:space="preserve">Ovviamente </w:t>
      </w:r>
      <w:r w:rsidR="00741148">
        <w:t xml:space="preserve">l’ammontare di queste spese dipende dalla dimensione dall’azienda:  </w:t>
      </w:r>
      <w:r w:rsidR="00135B72">
        <w:t>nelle imprese con più di 50 addetti la percentuale di quelle che spendono più di € 10.000 sale  al 12% e quella tra i 5.000€ e i 10.000</w:t>
      </w:r>
      <w:r w:rsidR="00052C5C">
        <w:t xml:space="preserve">€ sale al  38%; analogamente per le imprese tra i  10 e i 49 addetti le rispettive percentuali salgono al  7% e al 38%. Parallelamente le imprese giovanili, normalmente più piccole,  dichiarano nel 72% dei casi di spendere tra i 2.5500 e i 5.000€ e nessuna afferma di spendere più di 10.000€.  Da segnalare le maggiori spese delle imprese zootecniche (36% tra i 5 e i 10.000€ e 6% oltre i 10.000€), a causa dei costi derivanti </w:t>
      </w:r>
      <w:r w:rsidR="00C42947">
        <w:t>dagli obblighi  burocratici legati alla gestione delle anagrafi zootecniche e dei documenti del trasporto di animali.  Se confrontiamo queste risposte con quelle delle imprese manifatturiere e terziarie, possiamo osservare spese più sostenute in entrambe i settori: tra le prime la quota di imprese che spendono più di 10.000€ cresce fino al 41% e quella tra i  5 e i 10.000€ sale al 35%, mentre per le seconde le rispettive percentuali risultano pari al 28% e al 36%.</w:t>
      </w:r>
    </w:p>
    <w:p w14:paraId="1372B355" w14:textId="77777777" w:rsidR="00EB5095" w:rsidRDefault="00053950" w:rsidP="00B92367">
      <w:pPr>
        <w:jc w:val="both"/>
      </w:pPr>
      <w:r w:rsidRPr="004C262D">
        <w:rPr>
          <w:b/>
        </w:rPr>
        <w:t>Nel caso di ricorso personale intero (in maniera esclusiva o insieme a consulenti esterni) il numero medio di addetti impiegati per l’esecuzione degli adempimenti amministrativi e dei rapporti con la PA è di 1,6 , media che sale a 2,4 add</w:t>
      </w:r>
      <w:r w:rsidR="004C262D" w:rsidRPr="004C262D">
        <w:rPr>
          <w:b/>
        </w:rPr>
        <w:t>e</w:t>
      </w:r>
      <w:r w:rsidRPr="004C262D">
        <w:rPr>
          <w:b/>
        </w:rPr>
        <w:t xml:space="preserve">tti nelle imprese con più di 50 addetti e che si mantiene sostanzialmente omogenea per tutte le diverse tipologie di </w:t>
      </w:r>
      <w:r w:rsidR="004C262D" w:rsidRPr="004C262D">
        <w:rPr>
          <w:b/>
        </w:rPr>
        <w:t>i</w:t>
      </w:r>
      <w:r w:rsidRPr="004C262D">
        <w:rPr>
          <w:b/>
        </w:rPr>
        <w:t>mprese agricole</w:t>
      </w:r>
      <w:r w:rsidR="004C262D" w:rsidRPr="004C262D">
        <w:rPr>
          <w:b/>
        </w:rPr>
        <w:t>. Tali addetti sono impiegati mediamente per il 29% del loro monte ore lavorate complessivo</w:t>
      </w:r>
      <w:r w:rsidR="004C262D">
        <w:t>, anche in questo caso senza differenziazioni in rapporto alle diverse tipologie di imprese agricole, se si esclude anche qui un maggiore utilizzo da parte delle imprese con più di 50 addetti, che dichiarano un percentuale pari al 35% del totale delle ore lavorate, che vanno riferite anche ad un maggior numero medio di addetti.</w:t>
      </w:r>
    </w:p>
    <w:p w14:paraId="325683DE" w14:textId="77777777" w:rsidR="00DC7249" w:rsidRDefault="00DC7249" w:rsidP="00B92367">
      <w:pPr>
        <w:jc w:val="both"/>
      </w:pPr>
    </w:p>
    <w:p w14:paraId="3C0DBA22" w14:textId="77777777" w:rsidR="00DC7249" w:rsidRDefault="00DC7249" w:rsidP="00B92367">
      <w:pPr>
        <w:jc w:val="both"/>
      </w:pPr>
    </w:p>
    <w:sectPr w:rsidR="00DC7249" w:rsidSect="009950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921"/>
    <w:multiLevelType w:val="hybridMultilevel"/>
    <w:tmpl w:val="62BC4F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69C7587"/>
    <w:multiLevelType w:val="hybridMultilevel"/>
    <w:tmpl w:val="0C72BEFC"/>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 w15:restartNumberingAfterBreak="0">
    <w:nsid w:val="35C8023A"/>
    <w:multiLevelType w:val="hybridMultilevel"/>
    <w:tmpl w:val="23B66C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DFD38B5"/>
    <w:multiLevelType w:val="hybridMultilevel"/>
    <w:tmpl w:val="90E66D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F4E2FF9"/>
    <w:multiLevelType w:val="hybridMultilevel"/>
    <w:tmpl w:val="20387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2887872"/>
    <w:multiLevelType w:val="hybridMultilevel"/>
    <w:tmpl w:val="C4B83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35E739A"/>
    <w:multiLevelType w:val="hybridMultilevel"/>
    <w:tmpl w:val="54EEBC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CDC4118"/>
    <w:multiLevelType w:val="hybridMultilevel"/>
    <w:tmpl w:val="0B9800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4125AF7"/>
    <w:multiLevelType w:val="hybridMultilevel"/>
    <w:tmpl w:val="EDB280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A436D44"/>
    <w:multiLevelType w:val="hybridMultilevel"/>
    <w:tmpl w:val="2C4265A4"/>
    <w:lvl w:ilvl="0" w:tplc="04100001">
      <w:start w:val="1"/>
      <w:numFmt w:val="bullet"/>
      <w:lvlText w:val=""/>
      <w:lvlJc w:val="left"/>
      <w:pPr>
        <w:ind w:left="761" w:hanging="360"/>
      </w:pPr>
      <w:rPr>
        <w:rFonts w:ascii="Symbol" w:hAnsi="Symbol" w:hint="default"/>
      </w:rPr>
    </w:lvl>
    <w:lvl w:ilvl="1" w:tplc="04100003" w:tentative="1">
      <w:start w:val="1"/>
      <w:numFmt w:val="bullet"/>
      <w:lvlText w:val="o"/>
      <w:lvlJc w:val="left"/>
      <w:pPr>
        <w:ind w:left="1481" w:hanging="360"/>
      </w:pPr>
      <w:rPr>
        <w:rFonts w:ascii="Courier New" w:hAnsi="Courier New" w:cs="Courier New" w:hint="default"/>
      </w:rPr>
    </w:lvl>
    <w:lvl w:ilvl="2" w:tplc="04100005" w:tentative="1">
      <w:start w:val="1"/>
      <w:numFmt w:val="bullet"/>
      <w:lvlText w:val=""/>
      <w:lvlJc w:val="left"/>
      <w:pPr>
        <w:ind w:left="2201" w:hanging="360"/>
      </w:pPr>
      <w:rPr>
        <w:rFonts w:ascii="Wingdings" w:hAnsi="Wingdings" w:hint="default"/>
      </w:rPr>
    </w:lvl>
    <w:lvl w:ilvl="3" w:tplc="04100001" w:tentative="1">
      <w:start w:val="1"/>
      <w:numFmt w:val="bullet"/>
      <w:lvlText w:val=""/>
      <w:lvlJc w:val="left"/>
      <w:pPr>
        <w:ind w:left="2921" w:hanging="360"/>
      </w:pPr>
      <w:rPr>
        <w:rFonts w:ascii="Symbol" w:hAnsi="Symbol" w:hint="default"/>
      </w:rPr>
    </w:lvl>
    <w:lvl w:ilvl="4" w:tplc="04100003" w:tentative="1">
      <w:start w:val="1"/>
      <w:numFmt w:val="bullet"/>
      <w:lvlText w:val="o"/>
      <w:lvlJc w:val="left"/>
      <w:pPr>
        <w:ind w:left="3641" w:hanging="360"/>
      </w:pPr>
      <w:rPr>
        <w:rFonts w:ascii="Courier New" w:hAnsi="Courier New" w:cs="Courier New" w:hint="default"/>
      </w:rPr>
    </w:lvl>
    <w:lvl w:ilvl="5" w:tplc="04100005" w:tentative="1">
      <w:start w:val="1"/>
      <w:numFmt w:val="bullet"/>
      <w:lvlText w:val=""/>
      <w:lvlJc w:val="left"/>
      <w:pPr>
        <w:ind w:left="4361" w:hanging="360"/>
      </w:pPr>
      <w:rPr>
        <w:rFonts w:ascii="Wingdings" w:hAnsi="Wingdings" w:hint="default"/>
      </w:rPr>
    </w:lvl>
    <w:lvl w:ilvl="6" w:tplc="04100001" w:tentative="1">
      <w:start w:val="1"/>
      <w:numFmt w:val="bullet"/>
      <w:lvlText w:val=""/>
      <w:lvlJc w:val="left"/>
      <w:pPr>
        <w:ind w:left="5081" w:hanging="360"/>
      </w:pPr>
      <w:rPr>
        <w:rFonts w:ascii="Symbol" w:hAnsi="Symbol" w:hint="default"/>
      </w:rPr>
    </w:lvl>
    <w:lvl w:ilvl="7" w:tplc="04100003" w:tentative="1">
      <w:start w:val="1"/>
      <w:numFmt w:val="bullet"/>
      <w:lvlText w:val="o"/>
      <w:lvlJc w:val="left"/>
      <w:pPr>
        <w:ind w:left="5801" w:hanging="360"/>
      </w:pPr>
      <w:rPr>
        <w:rFonts w:ascii="Courier New" w:hAnsi="Courier New" w:cs="Courier New" w:hint="default"/>
      </w:rPr>
    </w:lvl>
    <w:lvl w:ilvl="8" w:tplc="04100005" w:tentative="1">
      <w:start w:val="1"/>
      <w:numFmt w:val="bullet"/>
      <w:lvlText w:val=""/>
      <w:lvlJc w:val="left"/>
      <w:pPr>
        <w:ind w:left="6521" w:hanging="360"/>
      </w:pPr>
      <w:rPr>
        <w:rFonts w:ascii="Wingdings" w:hAnsi="Wingdings" w:hint="default"/>
      </w:rPr>
    </w:lvl>
  </w:abstractNum>
  <w:abstractNum w:abstractNumId="10" w15:restartNumberingAfterBreak="0">
    <w:nsid w:val="6F392FAD"/>
    <w:multiLevelType w:val="hybridMultilevel"/>
    <w:tmpl w:val="4D76F6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90391004">
    <w:abstractNumId w:val="0"/>
  </w:num>
  <w:num w:numId="2" w16cid:durableId="2007201888">
    <w:abstractNumId w:val="9"/>
  </w:num>
  <w:num w:numId="3" w16cid:durableId="129322947">
    <w:abstractNumId w:val="2"/>
  </w:num>
  <w:num w:numId="4" w16cid:durableId="1113671928">
    <w:abstractNumId w:val="4"/>
  </w:num>
  <w:num w:numId="5" w16cid:durableId="1889224834">
    <w:abstractNumId w:val="10"/>
  </w:num>
  <w:num w:numId="6" w16cid:durableId="622539097">
    <w:abstractNumId w:val="7"/>
  </w:num>
  <w:num w:numId="7" w16cid:durableId="81802399">
    <w:abstractNumId w:val="6"/>
  </w:num>
  <w:num w:numId="8" w16cid:durableId="1401439399">
    <w:abstractNumId w:val="8"/>
  </w:num>
  <w:num w:numId="9" w16cid:durableId="2008704983">
    <w:abstractNumId w:val="1"/>
  </w:num>
  <w:num w:numId="10" w16cid:durableId="376592904">
    <w:abstractNumId w:val="5"/>
  </w:num>
  <w:num w:numId="11" w16cid:durableId="18805058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35E"/>
    <w:rsid w:val="00005FC4"/>
    <w:rsid w:val="00013570"/>
    <w:rsid w:val="00015A2E"/>
    <w:rsid w:val="00016CA7"/>
    <w:rsid w:val="0002051D"/>
    <w:rsid w:val="00027D83"/>
    <w:rsid w:val="00033DBC"/>
    <w:rsid w:val="00037D10"/>
    <w:rsid w:val="00042548"/>
    <w:rsid w:val="000436E0"/>
    <w:rsid w:val="00045111"/>
    <w:rsid w:val="00052350"/>
    <w:rsid w:val="00052C5C"/>
    <w:rsid w:val="00053950"/>
    <w:rsid w:val="000551C4"/>
    <w:rsid w:val="000603C6"/>
    <w:rsid w:val="00067DC7"/>
    <w:rsid w:val="00077E22"/>
    <w:rsid w:val="00082433"/>
    <w:rsid w:val="000843DA"/>
    <w:rsid w:val="00084440"/>
    <w:rsid w:val="000942BF"/>
    <w:rsid w:val="000A11AE"/>
    <w:rsid w:val="000A3DDF"/>
    <w:rsid w:val="000A4E3D"/>
    <w:rsid w:val="000E37F1"/>
    <w:rsid w:val="000E4B67"/>
    <w:rsid w:val="000F795F"/>
    <w:rsid w:val="0010382F"/>
    <w:rsid w:val="00104CB7"/>
    <w:rsid w:val="0010701D"/>
    <w:rsid w:val="00110066"/>
    <w:rsid w:val="0011052B"/>
    <w:rsid w:val="00114DBE"/>
    <w:rsid w:val="001172A0"/>
    <w:rsid w:val="00123C24"/>
    <w:rsid w:val="00123FCB"/>
    <w:rsid w:val="001260A0"/>
    <w:rsid w:val="001342DA"/>
    <w:rsid w:val="00135744"/>
    <w:rsid w:val="00135B72"/>
    <w:rsid w:val="00140D9F"/>
    <w:rsid w:val="00150577"/>
    <w:rsid w:val="00152C15"/>
    <w:rsid w:val="001605D0"/>
    <w:rsid w:val="00160FC9"/>
    <w:rsid w:val="001617A6"/>
    <w:rsid w:val="00162D25"/>
    <w:rsid w:val="00163213"/>
    <w:rsid w:val="00163BAC"/>
    <w:rsid w:val="00166987"/>
    <w:rsid w:val="00174EFA"/>
    <w:rsid w:val="00180779"/>
    <w:rsid w:val="00182ED8"/>
    <w:rsid w:val="00184EF3"/>
    <w:rsid w:val="00185487"/>
    <w:rsid w:val="001911C4"/>
    <w:rsid w:val="001A683F"/>
    <w:rsid w:val="001A7DA1"/>
    <w:rsid w:val="001B16B4"/>
    <w:rsid w:val="001B4504"/>
    <w:rsid w:val="001B4CAB"/>
    <w:rsid w:val="001B73E5"/>
    <w:rsid w:val="001B777C"/>
    <w:rsid w:val="001C0B55"/>
    <w:rsid w:val="001C0F72"/>
    <w:rsid w:val="001C18BB"/>
    <w:rsid w:val="001C3595"/>
    <w:rsid w:val="001D0063"/>
    <w:rsid w:val="001D2DC4"/>
    <w:rsid w:val="001D4A74"/>
    <w:rsid w:val="001D4AD5"/>
    <w:rsid w:val="001E29C0"/>
    <w:rsid w:val="001E3F97"/>
    <w:rsid w:val="001E7D7C"/>
    <w:rsid w:val="001F466E"/>
    <w:rsid w:val="001F52B9"/>
    <w:rsid w:val="002006FB"/>
    <w:rsid w:val="00204B4A"/>
    <w:rsid w:val="00204DF6"/>
    <w:rsid w:val="002163E7"/>
    <w:rsid w:val="00216CDA"/>
    <w:rsid w:val="00217C2A"/>
    <w:rsid w:val="00220C0D"/>
    <w:rsid w:val="0022704D"/>
    <w:rsid w:val="00241E43"/>
    <w:rsid w:val="00253582"/>
    <w:rsid w:val="00254C04"/>
    <w:rsid w:val="00257034"/>
    <w:rsid w:val="0026110A"/>
    <w:rsid w:val="002747E0"/>
    <w:rsid w:val="0027596C"/>
    <w:rsid w:val="00277995"/>
    <w:rsid w:val="00281EA7"/>
    <w:rsid w:val="00283A66"/>
    <w:rsid w:val="00283EF3"/>
    <w:rsid w:val="002872D5"/>
    <w:rsid w:val="00290B0C"/>
    <w:rsid w:val="00292031"/>
    <w:rsid w:val="002A057B"/>
    <w:rsid w:val="002A18ED"/>
    <w:rsid w:val="002A2656"/>
    <w:rsid w:val="002A47B2"/>
    <w:rsid w:val="002B0B41"/>
    <w:rsid w:val="002C0A7F"/>
    <w:rsid w:val="002C29BE"/>
    <w:rsid w:val="002C4D6B"/>
    <w:rsid w:val="002C5071"/>
    <w:rsid w:val="002C7536"/>
    <w:rsid w:val="002D05E9"/>
    <w:rsid w:val="002D715B"/>
    <w:rsid w:val="002E2776"/>
    <w:rsid w:val="002E293A"/>
    <w:rsid w:val="002F48CC"/>
    <w:rsid w:val="003020A3"/>
    <w:rsid w:val="00307575"/>
    <w:rsid w:val="00312830"/>
    <w:rsid w:val="00327297"/>
    <w:rsid w:val="003313E0"/>
    <w:rsid w:val="0033460B"/>
    <w:rsid w:val="00344E14"/>
    <w:rsid w:val="00356119"/>
    <w:rsid w:val="00357E30"/>
    <w:rsid w:val="003666D8"/>
    <w:rsid w:val="00370362"/>
    <w:rsid w:val="003710ED"/>
    <w:rsid w:val="00375178"/>
    <w:rsid w:val="00381119"/>
    <w:rsid w:val="00381894"/>
    <w:rsid w:val="0038263B"/>
    <w:rsid w:val="00395EA2"/>
    <w:rsid w:val="003A4F95"/>
    <w:rsid w:val="003A5E70"/>
    <w:rsid w:val="003B004A"/>
    <w:rsid w:val="003C5CC2"/>
    <w:rsid w:val="003C5F2B"/>
    <w:rsid w:val="003D0275"/>
    <w:rsid w:val="003D1B23"/>
    <w:rsid w:val="003D293D"/>
    <w:rsid w:val="003E36E6"/>
    <w:rsid w:val="003E64FD"/>
    <w:rsid w:val="003F083E"/>
    <w:rsid w:val="003F24E7"/>
    <w:rsid w:val="003F328A"/>
    <w:rsid w:val="003F6143"/>
    <w:rsid w:val="00405E1E"/>
    <w:rsid w:val="004078E8"/>
    <w:rsid w:val="00415E74"/>
    <w:rsid w:val="00416B94"/>
    <w:rsid w:val="004201A9"/>
    <w:rsid w:val="00420D66"/>
    <w:rsid w:val="00422553"/>
    <w:rsid w:val="0042493B"/>
    <w:rsid w:val="004274E0"/>
    <w:rsid w:val="004311F6"/>
    <w:rsid w:val="004325BF"/>
    <w:rsid w:val="004326E7"/>
    <w:rsid w:val="00441E2D"/>
    <w:rsid w:val="0044204B"/>
    <w:rsid w:val="004470CF"/>
    <w:rsid w:val="0044782A"/>
    <w:rsid w:val="00447F5E"/>
    <w:rsid w:val="00462FCE"/>
    <w:rsid w:val="00465A7E"/>
    <w:rsid w:val="00466C25"/>
    <w:rsid w:val="00467CDA"/>
    <w:rsid w:val="00470239"/>
    <w:rsid w:val="004708DD"/>
    <w:rsid w:val="00476DC5"/>
    <w:rsid w:val="00477677"/>
    <w:rsid w:val="004801EF"/>
    <w:rsid w:val="00483E3F"/>
    <w:rsid w:val="00485D45"/>
    <w:rsid w:val="00491810"/>
    <w:rsid w:val="004A06E0"/>
    <w:rsid w:val="004A09C1"/>
    <w:rsid w:val="004A658A"/>
    <w:rsid w:val="004A788F"/>
    <w:rsid w:val="004B4E95"/>
    <w:rsid w:val="004B71DC"/>
    <w:rsid w:val="004C0F2B"/>
    <w:rsid w:val="004C262D"/>
    <w:rsid w:val="004D221C"/>
    <w:rsid w:val="004D2260"/>
    <w:rsid w:val="004D430F"/>
    <w:rsid w:val="004E1BBB"/>
    <w:rsid w:val="004E53A2"/>
    <w:rsid w:val="004F1A84"/>
    <w:rsid w:val="004F6406"/>
    <w:rsid w:val="00500C4C"/>
    <w:rsid w:val="005047DD"/>
    <w:rsid w:val="00504D52"/>
    <w:rsid w:val="00511828"/>
    <w:rsid w:val="00514D1E"/>
    <w:rsid w:val="005156CF"/>
    <w:rsid w:val="005163DA"/>
    <w:rsid w:val="00525218"/>
    <w:rsid w:val="00531C2A"/>
    <w:rsid w:val="00532FD9"/>
    <w:rsid w:val="005339B4"/>
    <w:rsid w:val="00540E38"/>
    <w:rsid w:val="00541F22"/>
    <w:rsid w:val="00544D87"/>
    <w:rsid w:val="00545F08"/>
    <w:rsid w:val="00551BF4"/>
    <w:rsid w:val="005540B0"/>
    <w:rsid w:val="00560E0A"/>
    <w:rsid w:val="0056691B"/>
    <w:rsid w:val="00574006"/>
    <w:rsid w:val="00581809"/>
    <w:rsid w:val="00584B49"/>
    <w:rsid w:val="0058725A"/>
    <w:rsid w:val="00596EEE"/>
    <w:rsid w:val="005A131B"/>
    <w:rsid w:val="005A3799"/>
    <w:rsid w:val="005A3B6F"/>
    <w:rsid w:val="005A5F9C"/>
    <w:rsid w:val="005B2290"/>
    <w:rsid w:val="005B5748"/>
    <w:rsid w:val="005B7E59"/>
    <w:rsid w:val="005C7B78"/>
    <w:rsid w:val="005C7D09"/>
    <w:rsid w:val="005D0C8A"/>
    <w:rsid w:val="005D1F93"/>
    <w:rsid w:val="005D32F7"/>
    <w:rsid w:val="005D4E32"/>
    <w:rsid w:val="005F0C58"/>
    <w:rsid w:val="005F5A73"/>
    <w:rsid w:val="005F5CC1"/>
    <w:rsid w:val="0060204B"/>
    <w:rsid w:val="00604913"/>
    <w:rsid w:val="00611C50"/>
    <w:rsid w:val="00612D2C"/>
    <w:rsid w:val="00621B01"/>
    <w:rsid w:val="006246F7"/>
    <w:rsid w:val="00627DD1"/>
    <w:rsid w:val="006418C3"/>
    <w:rsid w:val="006527FE"/>
    <w:rsid w:val="006546BC"/>
    <w:rsid w:val="00654D12"/>
    <w:rsid w:val="00657591"/>
    <w:rsid w:val="0066615D"/>
    <w:rsid w:val="0067019E"/>
    <w:rsid w:val="006702CE"/>
    <w:rsid w:val="00674E0F"/>
    <w:rsid w:val="006825C6"/>
    <w:rsid w:val="00684E51"/>
    <w:rsid w:val="00686929"/>
    <w:rsid w:val="00690495"/>
    <w:rsid w:val="00692466"/>
    <w:rsid w:val="006929A4"/>
    <w:rsid w:val="006A426D"/>
    <w:rsid w:val="006A6D04"/>
    <w:rsid w:val="006B1EE5"/>
    <w:rsid w:val="006B7A6E"/>
    <w:rsid w:val="006C19CE"/>
    <w:rsid w:val="006E38C3"/>
    <w:rsid w:val="006E6D0C"/>
    <w:rsid w:val="006F07D5"/>
    <w:rsid w:val="006F1D9F"/>
    <w:rsid w:val="006F5335"/>
    <w:rsid w:val="006F7234"/>
    <w:rsid w:val="0070184D"/>
    <w:rsid w:val="0071543B"/>
    <w:rsid w:val="0071550A"/>
    <w:rsid w:val="00715D29"/>
    <w:rsid w:val="00720369"/>
    <w:rsid w:val="0072460F"/>
    <w:rsid w:val="00724A66"/>
    <w:rsid w:val="007255BA"/>
    <w:rsid w:val="00727D0B"/>
    <w:rsid w:val="007325A6"/>
    <w:rsid w:val="00734E25"/>
    <w:rsid w:val="00735B03"/>
    <w:rsid w:val="00737843"/>
    <w:rsid w:val="0074006E"/>
    <w:rsid w:val="00741148"/>
    <w:rsid w:val="00750D64"/>
    <w:rsid w:val="00753CC8"/>
    <w:rsid w:val="0075458B"/>
    <w:rsid w:val="00760779"/>
    <w:rsid w:val="00762318"/>
    <w:rsid w:val="0076325F"/>
    <w:rsid w:val="00763A4C"/>
    <w:rsid w:val="0076543B"/>
    <w:rsid w:val="00766159"/>
    <w:rsid w:val="007674C2"/>
    <w:rsid w:val="0076756D"/>
    <w:rsid w:val="00767A7E"/>
    <w:rsid w:val="00777B67"/>
    <w:rsid w:val="00780BF1"/>
    <w:rsid w:val="0078275D"/>
    <w:rsid w:val="00783952"/>
    <w:rsid w:val="007911DC"/>
    <w:rsid w:val="007A500C"/>
    <w:rsid w:val="007A64CE"/>
    <w:rsid w:val="007B240D"/>
    <w:rsid w:val="007B3F78"/>
    <w:rsid w:val="007C04FA"/>
    <w:rsid w:val="007C3245"/>
    <w:rsid w:val="007E0BB7"/>
    <w:rsid w:val="007E4A64"/>
    <w:rsid w:val="007E72A0"/>
    <w:rsid w:val="007F162C"/>
    <w:rsid w:val="007F2B11"/>
    <w:rsid w:val="007F4C80"/>
    <w:rsid w:val="007F5F64"/>
    <w:rsid w:val="007F6577"/>
    <w:rsid w:val="007F6646"/>
    <w:rsid w:val="00804211"/>
    <w:rsid w:val="008075F3"/>
    <w:rsid w:val="00813E75"/>
    <w:rsid w:val="00814627"/>
    <w:rsid w:val="00814A64"/>
    <w:rsid w:val="0082170F"/>
    <w:rsid w:val="00822094"/>
    <w:rsid w:val="00823D54"/>
    <w:rsid w:val="00830563"/>
    <w:rsid w:val="00840663"/>
    <w:rsid w:val="00842372"/>
    <w:rsid w:val="00844EB3"/>
    <w:rsid w:val="00845207"/>
    <w:rsid w:val="0084589E"/>
    <w:rsid w:val="0084697D"/>
    <w:rsid w:val="00847A0E"/>
    <w:rsid w:val="0085398E"/>
    <w:rsid w:val="00854638"/>
    <w:rsid w:val="008550A3"/>
    <w:rsid w:val="0085606D"/>
    <w:rsid w:val="00856C4D"/>
    <w:rsid w:val="00862122"/>
    <w:rsid w:val="008623DB"/>
    <w:rsid w:val="0087186E"/>
    <w:rsid w:val="00883BED"/>
    <w:rsid w:val="00887424"/>
    <w:rsid w:val="008A1D10"/>
    <w:rsid w:val="008A2360"/>
    <w:rsid w:val="008B0EB5"/>
    <w:rsid w:val="008B3BF1"/>
    <w:rsid w:val="008C00FC"/>
    <w:rsid w:val="008C3E33"/>
    <w:rsid w:val="008C485C"/>
    <w:rsid w:val="008C6C9F"/>
    <w:rsid w:val="008D0DF9"/>
    <w:rsid w:val="008D47D8"/>
    <w:rsid w:val="008D6449"/>
    <w:rsid w:val="008D68D5"/>
    <w:rsid w:val="008E0390"/>
    <w:rsid w:val="008E0AEB"/>
    <w:rsid w:val="008E3455"/>
    <w:rsid w:val="008F5FB6"/>
    <w:rsid w:val="008F6ABF"/>
    <w:rsid w:val="00904DAF"/>
    <w:rsid w:val="0090721A"/>
    <w:rsid w:val="0091299F"/>
    <w:rsid w:val="00920089"/>
    <w:rsid w:val="00933A82"/>
    <w:rsid w:val="00941DED"/>
    <w:rsid w:val="009423A4"/>
    <w:rsid w:val="00942F4E"/>
    <w:rsid w:val="009443BB"/>
    <w:rsid w:val="00944DF2"/>
    <w:rsid w:val="00953DFF"/>
    <w:rsid w:val="00955768"/>
    <w:rsid w:val="00957DE0"/>
    <w:rsid w:val="0096013C"/>
    <w:rsid w:val="00960707"/>
    <w:rsid w:val="00960D82"/>
    <w:rsid w:val="00971443"/>
    <w:rsid w:val="00973D0B"/>
    <w:rsid w:val="00980135"/>
    <w:rsid w:val="0098412B"/>
    <w:rsid w:val="00985A2F"/>
    <w:rsid w:val="009879F3"/>
    <w:rsid w:val="009925E2"/>
    <w:rsid w:val="009950DE"/>
    <w:rsid w:val="00995CC3"/>
    <w:rsid w:val="0099675D"/>
    <w:rsid w:val="009A28EC"/>
    <w:rsid w:val="009A2A89"/>
    <w:rsid w:val="009A7F2A"/>
    <w:rsid w:val="009B0946"/>
    <w:rsid w:val="009B0CA8"/>
    <w:rsid w:val="009B193D"/>
    <w:rsid w:val="009B54FD"/>
    <w:rsid w:val="009C294A"/>
    <w:rsid w:val="009C3434"/>
    <w:rsid w:val="009C3CB4"/>
    <w:rsid w:val="009D0FD3"/>
    <w:rsid w:val="009D1CF1"/>
    <w:rsid w:val="009D680A"/>
    <w:rsid w:val="009E0FA2"/>
    <w:rsid w:val="009E109C"/>
    <w:rsid w:val="009E3C56"/>
    <w:rsid w:val="009E4C3E"/>
    <w:rsid w:val="009E7110"/>
    <w:rsid w:val="009F0025"/>
    <w:rsid w:val="009F0D24"/>
    <w:rsid w:val="009F75D8"/>
    <w:rsid w:val="00A00C61"/>
    <w:rsid w:val="00A01BA5"/>
    <w:rsid w:val="00A030DB"/>
    <w:rsid w:val="00A04329"/>
    <w:rsid w:val="00A077B9"/>
    <w:rsid w:val="00A116BB"/>
    <w:rsid w:val="00A144B0"/>
    <w:rsid w:val="00A24269"/>
    <w:rsid w:val="00A24F74"/>
    <w:rsid w:val="00A27F4B"/>
    <w:rsid w:val="00A309AE"/>
    <w:rsid w:val="00A330EA"/>
    <w:rsid w:val="00A3488C"/>
    <w:rsid w:val="00A34A1D"/>
    <w:rsid w:val="00A3534A"/>
    <w:rsid w:val="00A41FB8"/>
    <w:rsid w:val="00A46673"/>
    <w:rsid w:val="00A53C47"/>
    <w:rsid w:val="00A54A53"/>
    <w:rsid w:val="00A655C5"/>
    <w:rsid w:val="00A65F69"/>
    <w:rsid w:val="00A66CC6"/>
    <w:rsid w:val="00A70BEB"/>
    <w:rsid w:val="00A70DD3"/>
    <w:rsid w:val="00A924F1"/>
    <w:rsid w:val="00A944B3"/>
    <w:rsid w:val="00A962D9"/>
    <w:rsid w:val="00AA47E5"/>
    <w:rsid w:val="00AA5E78"/>
    <w:rsid w:val="00AA6D10"/>
    <w:rsid w:val="00AB5162"/>
    <w:rsid w:val="00AB6248"/>
    <w:rsid w:val="00AB7118"/>
    <w:rsid w:val="00AC0443"/>
    <w:rsid w:val="00AC16BA"/>
    <w:rsid w:val="00AC2FCF"/>
    <w:rsid w:val="00AC6BFA"/>
    <w:rsid w:val="00AD7024"/>
    <w:rsid w:val="00AE21F7"/>
    <w:rsid w:val="00AE6F2C"/>
    <w:rsid w:val="00AE7D19"/>
    <w:rsid w:val="00B02910"/>
    <w:rsid w:val="00B24EF4"/>
    <w:rsid w:val="00B3129A"/>
    <w:rsid w:val="00B328C4"/>
    <w:rsid w:val="00B3353D"/>
    <w:rsid w:val="00B4135E"/>
    <w:rsid w:val="00B477DA"/>
    <w:rsid w:val="00B66F5D"/>
    <w:rsid w:val="00B6712D"/>
    <w:rsid w:val="00B71244"/>
    <w:rsid w:val="00B766DF"/>
    <w:rsid w:val="00B76804"/>
    <w:rsid w:val="00B8461C"/>
    <w:rsid w:val="00B84D57"/>
    <w:rsid w:val="00B92367"/>
    <w:rsid w:val="00B925FA"/>
    <w:rsid w:val="00B95367"/>
    <w:rsid w:val="00B96911"/>
    <w:rsid w:val="00BA2524"/>
    <w:rsid w:val="00BC292E"/>
    <w:rsid w:val="00BC7EF1"/>
    <w:rsid w:val="00BD28C5"/>
    <w:rsid w:val="00BD410A"/>
    <w:rsid w:val="00BD529F"/>
    <w:rsid w:val="00BE0D91"/>
    <w:rsid w:val="00BF0F2A"/>
    <w:rsid w:val="00BF2005"/>
    <w:rsid w:val="00BF540C"/>
    <w:rsid w:val="00BF7D31"/>
    <w:rsid w:val="00C01445"/>
    <w:rsid w:val="00C07AE2"/>
    <w:rsid w:val="00C10CFB"/>
    <w:rsid w:val="00C127DB"/>
    <w:rsid w:val="00C13DCB"/>
    <w:rsid w:val="00C145B1"/>
    <w:rsid w:val="00C23318"/>
    <w:rsid w:val="00C23B48"/>
    <w:rsid w:val="00C2480B"/>
    <w:rsid w:val="00C25842"/>
    <w:rsid w:val="00C32509"/>
    <w:rsid w:val="00C33D54"/>
    <w:rsid w:val="00C35D6D"/>
    <w:rsid w:val="00C36FA3"/>
    <w:rsid w:val="00C41FFA"/>
    <w:rsid w:val="00C42947"/>
    <w:rsid w:val="00C45DFC"/>
    <w:rsid w:val="00C47093"/>
    <w:rsid w:val="00C470F6"/>
    <w:rsid w:val="00C50E7A"/>
    <w:rsid w:val="00C50FD0"/>
    <w:rsid w:val="00C54D45"/>
    <w:rsid w:val="00C6165D"/>
    <w:rsid w:val="00C63FD3"/>
    <w:rsid w:val="00C64CA4"/>
    <w:rsid w:val="00C74476"/>
    <w:rsid w:val="00C74D82"/>
    <w:rsid w:val="00C7536C"/>
    <w:rsid w:val="00C755BE"/>
    <w:rsid w:val="00C77F77"/>
    <w:rsid w:val="00C80FB1"/>
    <w:rsid w:val="00C8466E"/>
    <w:rsid w:val="00C92FC9"/>
    <w:rsid w:val="00CA03D6"/>
    <w:rsid w:val="00CA21BE"/>
    <w:rsid w:val="00CB1386"/>
    <w:rsid w:val="00CB14BD"/>
    <w:rsid w:val="00CB2D78"/>
    <w:rsid w:val="00CB4B75"/>
    <w:rsid w:val="00CC18CB"/>
    <w:rsid w:val="00CC3E9C"/>
    <w:rsid w:val="00CC7CDF"/>
    <w:rsid w:val="00CD01CB"/>
    <w:rsid w:val="00CD1919"/>
    <w:rsid w:val="00CD5BAE"/>
    <w:rsid w:val="00CD6EE5"/>
    <w:rsid w:val="00CE1559"/>
    <w:rsid w:val="00CE5932"/>
    <w:rsid w:val="00CF1D44"/>
    <w:rsid w:val="00D00FD6"/>
    <w:rsid w:val="00D02167"/>
    <w:rsid w:val="00D053C0"/>
    <w:rsid w:val="00D26EF3"/>
    <w:rsid w:val="00D30769"/>
    <w:rsid w:val="00D309ED"/>
    <w:rsid w:val="00D3555F"/>
    <w:rsid w:val="00D44610"/>
    <w:rsid w:val="00D454A8"/>
    <w:rsid w:val="00D50757"/>
    <w:rsid w:val="00D53810"/>
    <w:rsid w:val="00D70174"/>
    <w:rsid w:val="00D71C21"/>
    <w:rsid w:val="00D75520"/>
    <w:rsid w:val="00D80B5E"/>
    <w:rsid w:val="00D910ED"/>
    <w:rsid w:val="00D9334F"/>
    <w:rsid w:val="00D9376D"/>
    <w:rsid w:val="00D94C51"/>
    <w:rsid w:val="00DA4A02"/>
    <w:rsid w:val="00DB1E63"/>
    <w:rsid w:val="00DB360C"/>
    <w:rsid w:val="00DC23ED"/>
    <w:rsid w:val="00DC7249"/>
    <w:rsid w:val="00DD51D1"/>
    <w:rsid w:val="00DD5CC5"/>
    <w:rsid w:val="00DE224D"/>
    <w:rsid w:val="00DF5ACE"/>
    <w:rsid w:val="00E03E00"/>
    <w:rsid w:val="00E10AAB"/>
    <w:rsid w:val="00E16401"/>
    <w:rsid w:val="00E2272F"/>
    <w:rsid w:val="00E260BF"/>
    <w:rsid w:val="00E32994"/>
    <w:rsid w:val="00E40C26"/>
    <w:rsid w:val="00E5093B"/>
    <w:rsid w:val="00E50988"/>
    <w:rsid w:val="00E51975"/>
    <w:rsid w:val="00E5337A"/>
    <w:rsid w:val="00E55875"/>
    <w:rsid w:val="00E61576"/>
    <w:rsid w:val="00E664A2"/>
    <w:rsid w:val="00E6780E"/>
    <w:rsid w:val="00E67F65"/>
    <w:rsid w:val="00E70B6B"/>
    <w:rsid w:val="00E76094"/>
    <w:rsid w:val="00E7700E"/>
    <w:rsid w:val="00E77947"/>
    <w:rsid w:val="00E77D15"/>
    <w:rsid w:val="00E81913"/>
    <w:rsid w:val="00E97F67"/>
    <w:rsid w:val="00EA126D"/>
    <w:rsid w:val="00EB0339"/>
    <w:rsid w:val="00EB5095"/>
    <w:rsid w:val="00EB51BA"/>
    <w:rsid w:val="00EC602C"/>
    <w:rsid w:val="00EC72A6"/>
    <w:rsid w:val="00EC7BE4"/>
    <w:rsid w:val="00ED126E"/>
    <w:rsid w:val="00ED3F33"/>
    <w:rsid w:val="00ED520D"/>
    <w:rsid w:val="00EE6EFD"/>
    <w:rsid w:val="00EF2B22"/>
    <w:rsid w:val="00F042B8"/>
    <w:rsid w:val="00F05739"/>
    <w:rsid w:val="00F107F1"/>
    <w:rsid w:val="00F15CC1"/>
    <w:rsid w:val="00F20121"/>
    <w:rsid w:val="00F223E9"/>
    <w:rsid w:val="00F23171"/>
    <w:rsid w:val="00F234AC"/>
    <w:rsid w:val="00F25B92"/>
    <w:rsid w:val="00F27664"/>
    <w:rsid w:val="00F324FB"/>
    <w:rsid w:val="00F34E09"/>
    <w:rsid w:val="00F368E4"/>
    <w:rsid w:val="00F37386"/>
    <w:rsid w:val="00F4244F"/>
    <w:rsid w:val="00F5014E"/>
    <w:rsid w:val="00F63905"/>
    <w:rsid w:val="00F639B9"/>
    <w:rsid w:val="00F64D5D"/>
    <w:rsid w:val="00F6701F"/>
    <w:rsid w:val="00F71F61"/>
    <w:rsid w:val="00F7541F"/>
    <w:rsid w:val="00F911B8"/>
    <w:rsid w:val="00F9284A"/>
    <w:rsid w:val="00FA017B"/>
    <w:rsid w:val="00FA190E"/>
    <w:rsid w:val="00FA1A8D"/>
    <w:rsid w:val="00FA7004"/>
    <w:rsid w:val="00FB2F70"/>
    <w:rsid w:val="00FC310D"/>
    <w:rsid w:val="00FD1B17"/>
    <w:rsid w:val="00FD735D"/>
    <w:rsid w:val="00FE3366"/>
    <w:rsid w:val="00FE41C4"/>
    <w:rsid w:val="00FE4697"/>
    <w:rsid w:val="00FE755C"/>
    <w:rsid w:val="00FF1C75"/>
    <w:rsid w:val="00FF46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FA3E"/>
  <w15:docId w15:val="{A11A6F1D-8B19-4C24-8B30-70BF04865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950D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223E9"/>
    <w:pPr>
      <w:ind w:left="720"/>
      <w:contextualSpacing/>
    </w:pPr>
  </w:style>
  <w:style w:type="paragraph" w:styleId="Testofumetto">
    <w:name w:val="Balloon Text"/>
    <w:basedOn w:val="Normale"/>
    <w:link w:val="TestofumettoCarattere"/>
    <w:uiPriority w:val="99"/>
    <w:semiHidden/>
    <w:unhideWhenUsed/>
    <w:rsid w:val="00E40C2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0C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8.xml"/><Relationship Id="rId18" Type="http://schemas.openxmlformats.org/officeDocument/2006/relationships/chart" Target="charts/chart13.xml"/><Relationship Id="rId26" Type="http://schemas.openxmlformats.org/officeDocument/2006/relationships/chart" Target="charts/chart21.xml"/><Relationship Id="rId39" Type="http://schemas.openxmlformats.org/officeDocument/2006/relationships/chart" Target="charts/chart34.xml"/><Relationship Id="rId21" Type="http://schemas.openxmlformats.org/officeDocument/2006/relationships/chart" Target="charts/chart16.xml"/><Relationship Id="rId34" Type="http://schemas.openxmlformats.org/officeDocument/2006/relationships/chart" Target="charts/chart29.xml"/><Relationship Id="rId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1.xml"/><Relationship Id="rId20" Type="http://schemas.openxmlformats.org/officeDocument/2006/relationships/chart" Target="charts/chart15.xml"/><Relationship Id="rId29" Type="http://schemas.openxmlformats.org/officeDocument/2006/relationships/chart" Target="charts/chart2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chart" Target="charts/chart19.xml"/><Relationship Id="rId32" Type="http://schemas.openxmlformats.org/officeDocument/2006/relationships/chart" Target="charts/chart27.xml"/><Relationship Id="rId37" Type="http://schemas.openxmlformats.org/officeDocument/2006/relationships/chart" Target="charts/chart3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0.xml"/><Relationship Id="rId23" Type="http://schemas.openxmlformats.org/officeDocument/2006/relationships/chart" Target="charts/chart18.xml"/><Relationship Id="rId28" Type="http://schemas.openxmlformats.org/officeDocument/2006/relationships/chart" Target="charts/chart23.xml"/><Relationship Id="rId36" Type="http://schemas.openxmlformats.org/officeDocument/2006/relationships/chart" Target="charts/chart31.xml"/><Relationship Id="rId10" Type="http://schemas.openxmlformats.org/officeDocument/2006/relationships/chart" Target="charts/chart5.xml"/><Relationship Id="rId19" Type="http://schemas.openxmlformats.org/officeDocument/2006/relationships/chart" Target="charts/chart14.xml"/><Relationship Id="rId31" Type="http://schemas.openxmlformats.org/officeDocument/2006/relationships/chart" Target="charts/chart26.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chart" Target="charts/chart17.xml"/><Relationship Id="rId27" Type="http://schemas.openxmlformats.org/officeDocument/2006/relationships/chart" Target="charts/chart22.xml"/><Relationship Id="rId30" Type="http://schemas.openxmlformats.org/officeDocument/2006/relationships/chart" Target="charts/chart25.xml"/><Relationship Id="rId35" Type="http://schemas.openxmlformats.org/officeDocument/2006/relationships/chart" Target="charts/chart30.xml"/><Relationship Id="rId8" Type="http://schemas.openxmlformats.org/officeDocument/2006/relationships/chart" Target="charts/chart3.xml"/><Relationship Id="rId3" Type="http://schemas.openxmlformats.org/officeDocument/2006/relationships/styles" Target="styles.xml"/><Relationship Id="rId12" Type="http://schemas.openxmlformats.org/officeDocument/2006/relationships/chart" Target="charts/chart7.xml"/><Relationship Id="rId17" Type="http://schemas.openxmlformats.org/officeDocument/2006/relationships/chart" Target="charts/chart12.xml"/><Relationship Id="rId25" Type="http://schemas.openxmlformats.org/officeDocument/2006/relationships/chart" Target="charts/chart20.xml"/><Relationship Id="rId33" Type="http://schemas.openxmlformats.org/officeDocument/2006/relationships/chart" Target="charts/chart28.xml"/><Relationship Id="rId38" Type="http://schemas.openxmlformats.org/officeDocument/2006/relationships/chart" Target="charts/chart33.xml"/></Relationships>
</file>

<file path=word/charts/_rels/chart1.xml.rels><?xml version="1.0" encoding="UTF-8" standalone="yes"?>
<Relationships xmlns="http://schemas.openxmlformats.org/package/2006/relationships"><Relationship Id="rId3" Type="http://schemas.openxmlformats.org/officeDocument/2006/relationships/oleObject" Target="file:///\\intra.tagliacarne.it\dfs\IGTDFS\NewArch-IGT\Ricerca\Report%20Agricoltura\Grafici_agricoltura.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intra.tagliacarne.it\dfs\IGTDFS\NewArch-IGT\Ricerca\Report%20Agricoltura\Grafici_agricoltura.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intra.tagliacarne.it\dfs\IGTDFS\NewArch-IGT\Ricerca\Report%20Agricoltura\Grafici_agricoltura.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intra.tagliacarne.it\dfs\IGTDFS\NewArch-IGT\Ricerca\Report%20Agricoltura\Grafici_agricoltura.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intra.tagliacarne.it\dfs\IGTDFS\NewArch-IGT\Ricerca\Report%20Agricoltura\Grafici_agricoltura.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intra.tagliacarne.it\dfs\IGTDFS\NewArch-IGT\Ricerca\Report%20Agricoltura\Grafici_agricoltura.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intra.tagliacarne.it\dfs\IGTDFS\NewArch-IGT\Ricerca\Report%20Agricoltura\Grafici_agricoltura.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intra.tagliacarne.it\dfs\IGTDFS\NewArch-IGT\Ricerca\Report%20Agricoltura\Grafici_agricoltura.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intra.tagliacarne.it\dfs\IGTDFS\NewArch-IGT\Ricerca\Report%20Agricoltura\Grafici_agricoltura.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intra.tagliacarne.it\dfs\IGTDFS\NewArch-IGT\Ricerca\Report%20Agricoltura\REPORT\Loredana\Definitivo%20inviato\Grafici_agricoltura.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intra.tagliacarne.it\dfs\IGTDFS\NewArch-IGT\Ricerca\Report%20Agricoltura\REPORT\Loredana\Definitivo%20inviato\Grafici_agricoltura.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intra.tagliacarne.it\dfs\IGTDFS\NewArch-IGT\Ricerca\Report%20Agricoltura\Grafici_agricoltura.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intra.tagliacarne.it\dfs\IGTDFS\NewArch-IGT\Ricerca\Report%20Agricoltura\Grafici_agricoltura.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intra.tagliacarne.it\dfs\IGTDFS\NewArch-IGT\Ricerca\Report%20Agricoltura\Grafici_agricoltura.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intra.tagliacarne.it\dfs\IGTDFS\NewArch-IGT\Ricerca\Report%20Agricoltura\Grafici_agricoltura.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intra.tagliacarne.it\dfs\IGTDFS\NewArch-IGT\Ricerca\Report%20Agricoltura\Grafici_agricoltura.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intra.tagliacarne.it\dfs\IGTDFS\NewArch-IGT\Ricerca\Report%20Agricoltura\Grafici_agricoltura.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intra.tagliacarne.it\dfs\IGTDFS\NewArch-IGT\Ricerca\Report%20Agricoltura\Grafici_agricoltura.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intra.tagliacarne.it\dfs\IGTDFS\NewArch-IGT\Ricerca\Report%20Agricoltura\Grafici_agricoltura.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intra.tagliacarne.it\dfs\IGTDFS\NewArch-IGT\Ricerca\Report%20Agricoltura\Grafici_agricoltura.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intra.tagliacarne.it\dfs\IGTDFS\NewArch-IGT\Ricerca\Report%20Agricoltura\Grafici_agricoltura.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intra.tagliacarne.it\dfs\IGTDFS\NewArch-IGT\Ricerca\Report%20Agricoltura\Grafici_agricoltura.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intra.tagliacarne.it\dfs\IGTDFS\NewArch-IGT\Ricerca\Report%20Agricoltura\Grafici_agricoltura.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intra.tagliacarne.it\dfs\IGTDFS\NewArch-IGT\Ricerca\Report%20Agricoltura\Grafici_agricoltura.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intra.tagliacarne.it\dfs\IGTDFS\NewArch-IGT\Ricerca\Report%20Agricoltura\Grafici_agricoltura.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file:///\\intra.tagliacarne.it\dfs\IGTDFS\NewArch-IGT\Ricerca\Report%20Agricoltura\REPORT\Loredana\Definitivo%20inviato\Grafici_agricoltura.xlsx"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file:///\\intra.tagliacarne.it\dfs\IGTDFS\NewArch-IGT\Ricerca\Report%20Agricoltura\Grafici_agricoltura.xlsx"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file:///\\intra.tagliacarne.it\dfs\IGTDFS\NewArch-IGT\Ricerca\Report%20Agricoltura\Grafici_agricoltura.xlsx" TargetMode="External"/><Relationship Id="rId2" Type="http://schemas.microsoft.com/office/2011/relationships/chartColorStyle" Target="colors34.xml"/><Relationship Id="rId1" Type="http://schemas.microsoft.com/office/2011/relationships/chartStyle" Target="style34.xml"/></Relationships>
</file>

<file path=word/charts/_rels/chart4.xml.rels><?xml version="1.0" encoding="UTF-8" standalone="yes"?>
<Relationships xmlns="http://schemas.openxmlformats.org/package/2006/relationships"><Relationship Id="rId3" Type="http://schemas.openxmlformats.org/officeDocument/2006/relationships/oleObject" Target="file:///\\intra.tagliacarne.it\dfs\IGTDFS\NewArch-IGT\Ricerca\Report%20Agricoltura\Grafici_agricoltur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intra.tagliacarne.it\dfs\IGTDFS\NewArch-IGT\Ricerca\Report%20Agricoltura\Grafici_agricoltur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intra.tagliacarne.it\dfs\IGTDFS\NewArch-IGT\Ricerca\Report%20Agricoltura\Grafici_agricoltur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intra.tagliacarne.it\dfs\IGTDFS\NewArch-IGT\Ricerca\Report%20Agricoltura\Grafici_agricoltura.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intra.tagliacarne.it\dfs\IGTDFS\NewArch-IGT\Ricerca\Report%20Agricoltura\Grafici_agricoltura.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intra.tagliacarne.it\dfs\IGTDFS\NewArch-IGT\Ricerca\Report%20Agricoltura\Grafici_agricoltura.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002060"/>
              </a:solidFill>
              <a:ln>
                <a:noFill/>
              </a:ln>
              <a:effectLst/>
            </c:spPr>
            <c:extLst>
              <c:ext xmlns:c16="http://schemas.microsoft.com/office/drawing/2014/chart" uri="{C3380CC4-5D6E-409C-BE32-E72D297353CC}">
                <c16:uniqueId val="{00000001-932F-44EB-98E6-BA71C3654848}"/>
              </c:ext>
            </c:extLst>
          </c:dPt>
          <c:dPt>
            <c:idx val="1"/>
            <c:invertIfNegative val="0"/>
            <c:bubble3D val="0"/>
            <c:spPr>
              <a:solidFill>
                <a:srgbClr val="0070C0"/>
              </a:solidFill>
              <a:ln>
                <a:noFill/>
              </a:ln>
              <a:effectLst/>
            </c:spPr>
            <c:extLst>
              <c:ext xmlns:c16="http://schemas.microsoft.com/office/drawing/2014/chart" uri="{C3380CC4-5D6E-409C-BE32-E72D297353CC}">
                <c16:uniqueId val="{00000003-932F-44EB-98E6-BA71C3654848}"/>
              </c:ext>
            </c:extLst>
          </c:dPt>
          <c:dPt>
            <c:idx val="3"/>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5-932F-44EB-98E6-BA71C3654848}"/>
              </c:ext>
            </c:extLst>
          </c:dPt>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Foglio1!$S$8:$S$11</c:f>
              <c:strCache>
                <c:ptCount val="4"/>
                <c:pt idx="0">
                  <c:v>Il titolare fondatore e la sua famiglia detengono sia il controllo che la gestione dell’impresa</c:v>
                </c:pt>
                <c:pt idx="1">
                  <c:v>Il titolare fondatore e la sua famiglia detengono il controllo ma non la gestione dell’impresa</c:v>
                </c:pt>
                <c:pt idx="2">
                  <c:v>Il titolare fondatore e la sua famiglia non detengono il controllo ma la gestione dell’impresa</c:v>
                </c:pt>
                <c:pt idx="3">
                  <c:v>Il controllo e la gestione non sono detenuti dal titolare fondatore e la sua famiglia</c:v>
                </c:pt>
              </c:strCache>
            </c:strRef>
          </c:cat>
          <c:val>
            <c:numRef>
              <c:f>Foglio1!$T$8:$T$11</c:f>
              <c:numCache>
                <c:formatCode>0</c:formatCode>
                <c:ptCount val="4"/>
                <c:pt idx="0">
                  <c:v>62.5</c:v>
                </c:pt>
                <c:pt idx="1">
                  <c:v>10.7</c:v>
                </c:pt>
                <c:pt idx="2">
                  <c:v>0.1</c:v>
                </c:pt>
                <c:pt idx="3">
                  <c:v>26.7</c:v>
                </c:pt>
              </c:numCache>
            </c:numRef>
          </c:val>
          <c:extLst>
            <c:ext xmlns:c16="http://schemas.microsoft.com/office/drawing/2014/chart" uri="{C3380CC4-5D6E-409C-BE32-E72D297353CC}">
              <c16:uniqueId val="{00000006-932F-44EB-98E6-BA71C3654848}"/>
            </c:ext>
          </c:extLst>
        </c:ser>
        <c:dLbls>
          <c:showLegendKey val="0"/>
          <c:showVal val="0"/>
          <c:showCatName val="0"/>
          <c:showSerName val="0"/>
          <c:showPercent val="0"/>
          <c:showBubbleSize val="0"/>
        </c:dLbls>
        <c:gapWidth val="219"/>
        <c:overlap val="-27"/>
        <c:axId val="90258232"/>
        <c:axId val="90257248"/>
      </c:barChart>
      <c:catAx>
        <c:axId val="90258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it-IT"/>
          </a:p>
        </c:txPr>
        <c:crossAx val="90257248"/>
        <c:crosses val="autoZero"/>
        <c:auto val="1"/>
        <c:lblAlgn val="ctr"/>
        <c:lblOffset val="100"/>
        <c:noMultiLvlLbl val="0"/>
      </c:catAx>
      <c:valAx>
        <c:axId val="90257248"/>
        <c:scaling>
          <c:orientation val="minMax"/>
        </c:scaling>
        <c:delete val="1"/>
        <c:axPos val="l"/>
        <c:numFmt formatCode="0" sourceLinked="1"/>
        <c:majorTickMark val="none"/>
        <c:minorTickMark val="none"/>
        <c:tickLblPos val="nextTo"/>
        <c:crossAx val="902582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chemeClr val="tx1"/>
          </a:solidFill>
        </a:defRPr>
      </a:pPr>
      <a:endParaRPr lang="it-IT"/>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0070C0"/>
            </a:solidFill>
            <a:ln>
              <a:noFill/>
            </a:ln>
            <a:effectLst/>
          </c:spPr>
          <c:invertIfNegative val="0"/>
          <c:dPt>
            <c:idx val="0"/>
            <c:invertIfNegative val="0"/>
            <c:bubble3D val="0"/>
            <c:spPr>
              <a:solidFill>
                <a:srgbClr val="002060"/>
              </a:solidFill>
              <a:ln>
                <a:noFill/>
              </a:ln>
              <a:effectLst/>
            </c:spPr>
            <c:extLst>
              <c:ext xmlns:c16="http://schemas.microsoft.com/office/drawing/2014/chart" uri="{C3380CC4-5D6E-409C-BE32-E72D297353CC}">
                <c16:uniqueId val="{00000001-F956-4D9E-9A27-BE20424E6962}"/>
              </c:ext>
            </c:extLst>
          </c:dPt>
          <c:dLbls>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motiv_inv_green!$S$7:$S$12</c:f>
              <c:strCache>
                <c:ptCount val="6"/>
                <c:pt idx="0">
                  <c:v>Totale imprese che ritengono necessario investire in tecnologie che riducono l'impatto ambientale</c:v>
                </c:pt>
                <c:pt idx="1">
                  <c:v>Sì, in risposta a regole imposte a livello nazionale ed europeo</c:v>
                </c:pt>
                <c:pt idx="2">
                  <c:v>Si, perché l’inquinamento e il cambiamento climatico rappresentano un rischio per l’azienda e la società</c:v>
                </c:pt>
                <c:pt idx="3">
                  <c:v>Si, perché migliora l’immagine e la reputazione dell’azienda</c:v>
                </c:pt>
                <c:pt idx="4">
                  <c:v>Sì, per rispondere all’aumento dei prezzi delle materie prime ed energetiche</c:v>
                </c:pt>
                <c:pt idx="5">
                  <c:v>Sì, perché rappresenta una opportunità economica e più in generale un vantaggio competitivo</c:v>
                </c:pt>
              </c:strCache>
            </c:strRef>
          </c:cat>
          <c:val>
            <c:numRef>
              <c:f>motiv_inv_green!$T$7:$T$12</c:f>
              <c:numCache>
                <c:formatCode>0</c:formatCode>
                <c:ptCount val="6"/>
                <c:pt idx="0">
                  <c:v>77.900000000000006</c:v>
                </c:pt>
                <c:pt idx="1">
                  <c:v>46.5</c:v>
                </c:pt>
                <c:pt idx="2">
                  <c:v>22.4</c:v>
                </c:pt>
                <c:pt idx="3">
                  <c:v>20.8</c:v>
                </c:pt>
                <c:pt idx="4">
                  <c:v>19.8</c:v>
                </c:pt>
                <c:pt idx="5">
                  <c:v>10.199999999999999</c:v>
                </c:pt>
              </c:numCache>
            </c:numRef>
          </c:val>
          <c:extLst>
            <c:ext xmlns:c16="http://schemas.microsoft.com/office/drawing/2014/chart" uri="{C3380CC4-5D6E-409C-BE32-E72D297353CC}">
              <c16:uniqueId val="{00000002-F956-4D9E-9A27-BE20424E6962}"/>
            </c:ext>
          </c:extLst>
        </c:ser>
        <c:dLbls>
          <c:showLegendKey val="0"/>
          <c:showVal val="0"/>
          <c:showCatName val="0"/>
          <c:showSerName val="0"/>
          <c:showPercent val="0"/>
          <c:showBubbleSize val="0"/>
        </c:dLbls>
        <c:gapWidth val="182"/>
        <c:axId val="663337216"/>
        <c:axId val="663344760"/>
      </c:barChart>
      <c:catAx>
        <c:axId val="6633372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it-IT"/>
          </a:p>
        </c:txPr>
        <c:crossAx val="663344760"/>
        <c:crosses val="autoZero"/>
        <c:auto val="1"/>
        <c:lblAlgn val="ctr"/>
        <c:lblOffset val="100"/>
        <c:noMultiLvlLbl val="0"/>
      </c:catAx>
      <c:valAx>
        <c:axId val="663344760"/>
        <c:scaling>
          <c:orientation val="minMax"/>
        </c:scaling>
        <c:delete val="1"/>
        <c:axPos val="t"/>
        <c:numFmt formatCode="0" sourceLinked="1"/>
        <c:majorTickMark val="none"/>
        <c:minorTickMark val="none"/>
        <c:tickLblPos val="nextTo"/>
        <c:crossAx val="6633372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50">
          <a:solidFill>
            <a:schemeClr val="tx1"/>
          </a:solidFill>
        </a:defRPr>
      </a:pPr>
      <a:endParaRPr lang="it-IT"/>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dinamica_tipologia_inv_green!$S$8</c:f>
              <c:strCache>
                <c:ptCount val="1"/>
                <c:pt idx="0">
                  <c:v>Nei processi produttivi </c:v>
                </c:pt>
              </c:strCache>
            </c:strRef>
          </c:tx>
          <c:spPr>
            <a:solidFill>
              <a:srgbClr val="002060"/>
            </a:solidFill>
            <a:ln>
              <a:noFill/>
            </a:ln>
            <a:effectLst/>
          </c:spPr>
          <c:invertIfNegative val="0"/>
          <c:dPt>
            <c:idx val="2"/>
            <c:invertIfNegative val="0"/>
            <c:bubble3D val="0"/>
            <c:spPr>
              <a:pattFill prst="ltDnDiag">
                <a:fgClr>
                  <a:srgbClr val="002060"/>
                </a:fgClr>
                <a:bgClr>
                  <a:schemeClr val="bg1"/>
                </a:bgClr>
              </a:pattFill>
              <a:ln>
                <a:noFill/>
              </a:ln>
              <a:effectLst/>
            </c:spPr>
            <c:extLst>
              <c:ext xmlns:c16="http://schemas.microsoft.com/office/drawing/2014/chart" uri="{C3380CC4-5D6E-409C-BE32-E72D297353CC}">
                <c16:uniqueId val="{00000001-F46F-4B6D-BF7C-5214514C22B5}"/>
              </c:ext>
            </c:extLst>
          </c:dPt>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dinamica_tipologia_inv_green!$T$7:$V$7</c:f>
              <c:strCache>
                <c:ptCount val="3"/>
                <c:pt idx="0">
                  <c:v>17-19</c:v>
                </c:pt>
                <c:pt idx="1">
                  <c:v>20-21</c:v>
                </c:pt>
                <c:pt idx="2">
                  <c:v>22-24</c:v>
                </c:pt>
              </c:strCache>
            </c:strRef>
          </c:cat>
          <c:val>
            <c:numRef>
              <c:f>dinamica_tipologia_inv_green!$T$8:$V$8</c:f>
              <c:numCache>
                <c:formatCode>#,##0</c:formatCode>
                <c:ptCount val="3"/>
                <c:pt idx="0">
                  <c:v>46.1</c:v>
                </c:pt>
                <c:pt idx="1">
                  <c:v>34.200000000000003</c:v>
                </c:pt>
                <c:pt idx="2">
                  <c:v>47.9</c:v>
                </c:pt>
              </c:numCache>
            </c:numRef>
          </c:val>
          <c:extLst>
            <c:ext xmlns:c16="http://schemas.microsoft.com/office/drawing/2014/chart" uri="{C3380CC4-5D6E-409C-BE32-E72D297353CC}">
              <c16:uniqueId val="{00000002-F46F-4B6D-BF7C-5214514C22B5}"/>
            </c:ext>
          </c:extLst>
        </c:ser>
        <c:ser>
          <c:idx val="1"/>
          <c:order val="1"/>
          <c:tx>
            <c:strRef>
              <c:f>dinamica_tipologia_inv_green!$S$9</c:f>
              <c:strCache>
                <c:ptCount val="1"/>
                <c:pt idx="0">
                  <c:v>Nei prodotti </c:v>
                </c:pt>
              </c:strCache>
            </c:strRef>
          </c:tx>
          <c:spPr>
            <a:solidFill>
              <a:srgbClr val="0070C0"/>
            </a:solidFill>
            <a:ln>
              <a:noFill/>
            </a:ln>
            <a:effectLst/>
          </c:spPr>
          <c:invertIfNegative val="0"/>
          <c:dPt>
            <c:idx val="2"/>
            <c:invertIfNegative val="0"/>
            <c:bubble3D val="0"/>
            <c:spPr>
              <a:pattFill prst="ltUpDiag">
                <a:fgClr>
                  <a:srgbClr val="0070C0"/>
                </a:fgClr>
                <a:bgClr>
                  <a:schemeClr val="bg1"/>
                </a:bgClr>
              </a:pattFill>
              <a:ln>
                <a:noFill/>
              </a:ln>
              <a:effectLst/>
            </c:spPr>
            <c:extLst>
              <c:ext xmlns:c16="http://schemas.microsoft.com/office/drawing/2014/chart" uri="{C3380CC4-5D6E-409C-BE32-E72D297353CC}">
                <c16:uniqueId val="{00000004-F46F-4B6D-BF7C-5214514C22B5}"/>
              </c:ext>
            </c:extLst>
          </c:dPt>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dinamica_tipologia_inv_green!$T$7:$V$7</c:f>
              <c:strCache>
                <c:ptCount val="3"/>
                <c:pt idx="0">
                  <c:v>17-19</c:v>
                </c:pt>
                <c:pt idx="1">
                  <c:v>20-21</c:v>
                </c:pt>
                <c:pt idx="2">
                  <c:v>22-24</c:v>
                </c:pt>
              </c:strCache>
            </c:strRef>
          </c:cat>
          <c:val>
            <c:numRef>
              <c:f>dinamica_tipologia_inv_green!$T$9:$V$9</c:f>
              <c:numCache>
                <c:formatCode>#,##0</c:formatCode>
                <c:ptCount val="3"/>
                <c:pt idx="0">
                  <c:v>16.8</c:v>
                </c:pt>
                <c:pt idx="1">
                  <c:v>13.2</c:v>
                </c:pt>
                <c:pt idx="2">
                  <c:v>19.8</c:v>
                </c:pt>
              </c:numCache>
            </c:numRef>
          </c:val>
          <c:extLst>
            <c:ext xmlns:c16="http://schemas.microsoft.com/office/drawing/2014/chart" uri="{C3380CC4-5D6E-409C-BE32-E72D297353CC}">
              <c16:uniqueId val="{00000005-F46F-4B6D-BF7C-5214514C22B5}"/>
            </c:ext>
          </c:extLst>
        </c:ser>
        <c:dLbls>
          <c:dLblPos val="outEnd"/>
          <c:showLegendKey val="0"/>
          <c:showVal val="1"/>
          <c:showCatName val="0"/>
          <c:showSerName val="0"/>
          <c:showPercent val="0"/>
          <c:showBubbleSize val="0"/>
        </c:dLbls>
        <c:gapWidth val="219"/>
        <c:overlap val="-27"/>
        <c:axId val="513160672"/>
        <c:axId val="513161984"/>
      </c:barChart>
      <c:catAx>
        <c:axId val="513160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it-IT"/>
          </a:p>
        </c:txPr>
        <c:crossAx val="513161984"/>
        <c:crosses val="autoZero"/>
        <c:auto val="1"/>
        <c:lblAlgn val="ctr"/>
        <c:lblOffset val="100"/>
        <c:noMultiLvlLbl val="0"/>
      </c:catAx>
      <c:valAx>
        <c:axId val="513161984"/>
        <c:scaling>
          <c:orientation val="minMax"/>
        </c:scaling>
        <c:delete val="1"/>
        <c:axPos val="l"/>
        <c:numFmt formatCode="#,##0" sourceLinked="1"/>
        <c:majorTickMark val="none"/>
        <c:minorTickMark val="none"/>
        <c:tickLblPos val="nextTo"/>
        <c:crossAx val="513160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it-IT"/>
        </a:p>
      </c:txPr>
    </c:legend>
    <c:plotVisOnly val="1"/>
    <c:dispBlanksAs val="gap"/>
    <c:showDLblsOverMax val="0"/>
  </c:chart>
  <c:spPr>
    <a:solidFill>
      <a:schemeClr val="bg1"/>
    </a:solidFill>
    <a:ln w="9525" cap="flat" cmpd="sng" algn="ctr">
      <a:noFill/>
      <a:round/>
    </a:ln>
    <a:effectLst/>
  </c:spPr>
  <c:txPr>
    <a:bodyPr/>
    <a:lstStyle/>
    <a:p>
      <a:pPr>
        <a:defRPr sz="1100">
          <a:solidFill>
            <a:schemeClr val="tx1"/>
          </a:solidFill>
        </a:defRPr>
      </a:pPr>
      <a:endParaRPr lang="it-IT"/>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dinamica_tipologia_inv_green!$S$52:$S$62</c:f>
              <c:strCache>
                <c:ptCount val="11"/>
                <c:pt idx="0">
                  <c:v>Riduzione dei rifiuti o degli scarti della produzione</c:v>
                </c:pt>
                <c:pt idx="1">
                  <c:v>Utilizzo di energie rinnovabili (fotovoltaico,solare, eolico)</c:v>
                </c:pt>
                <c:pt idx="2">
                  <c:v>Risparmio idrico (intensità idrica dei processi produttivi)</c:v>
                </c:pt>
                <c:pt idx="3">
                  <c:v>Riduzione dei consumi energetici</c:v>
                </c:pt>
                <c:pt idx="4">
                  <c:v>Riuso dei rifiuti o degli scarti della produzione</c:v>
                </c:pt>
                <c:pt idx="5">
                  <c:v>Efficienza energetica degli edifici aziendal</c:v>
                </c:pt>
                <c:pt idx="6">
                  <c:v>Allungamento tempi di vita del prodotto e servizi di manutenzione e riparazione (anche collettiva</c:v>
                </c:pt>
                <c:pt idx="7">
                  <c:v>Riduzione impiego sostanze chimiche nocive, sostituzione di sostanze tradizionali con prodotti di chimica verde: conversione al biologico</c:v>
                </c:pt>
                <c:pt idx="8">
                  <c:v>Riduzione emissioni di CO2 (riduzione impronta di carbonio o ambientale)</c:v>
                </c:pt>
                <c:pt idx="9">
                  <c:v>Aumento dell'utilizzo materie prime seconde (riciclate) e/o rinnovabili (reuse and renewables</c:v>
                </c:pt>
                <c:pt idx="10">
                  <c:v>Riduzione impiego sostanze chimiche nocive, sostituzione di sostanze tradizionali con prodotti di chimica verde: (adozione di un disciplinare di produzione integrata volontaria nell’ambito del SQNPI</c:v>
                </c:pt>
              </c:strCache>
            </c:strRef>
          </c:cat>
          <c:val>
            <c:numRef>
              <c:f>dinamica_tipologia_inv_green!$T$52:$T$62</c:f>
              <c:numCache>
                <c:formatCode>#,##0</c:formatCode>
                <c:ptCount val="11"/>
                <c:pt idx="0">
                  <c:v>63</c:v>
                </c:pt>
                <c:pt idx="1">
                  <c:v>46.8</c:v>
                </c:pt>
                <c:pt idx="2">
                  <c:v>39</c:v>
                </c:pt>
                <c:pt idx="3">
                  <c:v>36.299999999999997</c:v>
                </c:pt>
                <c:pt idx="4">
                  <c:v>27</c:v>
                </c:pt>
                <c:pt idx="5">
                  <c:v>22.9</c:v>
                </c:pt>
                <c:pt idx="6">
                  <c:v>20.5</c:v>
                </c:pt>
                <c:pt idx="7">
                  <c:v>20</c:v>
                </c:pt>
                <c:pt idx="8">
                  <c:v>19.5</c:v>
                </c:pt>
                <c:pt idx="9">
                  <c:v>18.3</c:v>
                </c:pt>
                <c:pt idx="10">
                  <c:v>15.4</c:v>
                </c:pt>
              </c:numCache>
            </c:numRef>
          </c:val>
          <c:extLst>
            <c:ext xmlns:c16="http://schemas.microsoft.com/office/drawing/2014/chart" uri="{C3380CC4-5D6E-409C-BE32-E72D297353CC}">
              <c16:uniqueId val="{00000000-0E64-4214-8970-744433079B96}"/>
            </c:ext>
          </c:extLst>
        </c:ser>
        <c:dLbls>
          <c:showLegendKey val="0"/>
          <c:showVal val="0"/>
          <c:showCatName val="0"/>
          <c:showSerName val="0"/>
          <c:showPercent val="0"/>
          <c:showBubbleSize val="0"/>
        </c:dLbls>
        <c:gapWidth val="182"/>
        <c:axId val="499270640"/>
        <c:axId val="499269328"/>
      </c:barChart>
      <c:catAx>
        <c:axId val="4992706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it-IT"/>
          </a:p>
        </c:txPr>
        <c:crossAx val="499269328"/>
        <c:crosses val="autoZero"/>
        <c:auto val="1"/>
        <c:lblAlgn val="ctr"/>
        <c:lblOffset val="100"/>
        <c:noMultiLvlLbl val="0"/>
      </c:catAx>
      <c:valAx>
        <c:axId val="499269328"/>
        <c:scaling>
          <c:orientation val="minMax"/>
        </c:scaling>
        <c:delete val="1"/>
        <c:axPos val="t"/>
        <c:numFmt formatCode="#,##0" sourceLinked="1"/>
        <c:majorTickMark val="none"/>
        <c:minorTickMark val="none"/>
        <c:tickLblPos val="nextTo"/>
        <c:crossAx val="4992706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100">
          <a:solidFill>
            <a:schemeClr val="tx1"/>
          </a:solidFill>
        </a:defRPr>
      </a:pPr>
      <a:endParaRPr lang="it-IT"/>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invest_inn!$T$5</c:f>
              <c:strCache>
                <c:ptCount val="1"/>
                <c:pt idx="0">
                  <c:v>17-19</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invest_inn!$S$6:$S$8</c:f>
              <c:strCache>
                <c:ptCount val="3"/>
                <c:pt idx="0">
                  <c:v>Ricerca e sviluppo</c:v>
                </c:pt>
                <c:pt idx="1">
                  <c:v>Software e database</c:v>
                </c:pt>
                <c:pt idx="2">
                  <c:v>Capitale fisico</c:v>
                </c:pt>
              </c:strCache>
            </c:strRef>
          </c:cat>
          <c:val>
            <c:numRef>
              <c:f>invest_inn!$T$6:$T$8</c:f>
              <c:numCache>
                <c:formatCode>#,##0</c:formatCode>
                <c:ptCount val="3"/>
                <c:pt idx="0">
                  <c:v>46</c:v>
                </c:pt>
                <c:pt idx="1">
                  <c:v>62</c:v>
                </c:pt>
                <c:pt idx="2">
                  <c:v>87.1</c:v>
                </c:pt>
              </c:numCache>
            </c:numRef>
          </c:val>
          <c:extLst>
            <c:ext xmlns:c16="http://schemas.microsoft.com/office/drawing/2014/chart" uri="{C3380CC4-5D6E-409C-BE32-E72D297353CC}">
              <c16:uniqueId val="{00000000-2172-47AD-86FF-53271775911E}"/>
            </c:ext>
          </c:extLst>
        </c:ser>
        <c:ser>
          <c:idx val="1"/>
          <c:order val="1"/>
          <c:tx>
            <c:strRef>
              <c:f>invest_inn!$U$5</c:f>
              <c:strCache>
                <c:ptCount val="1"/>
                <c:pt idx="0">
                  <c:v>22-24</c:v>
                </c:pt>
              </c:strCache>
            </c:strRef>
          </c:tx>
          <c:spPr>
            <a:pattFill prst="ltUpDiag">
              <a:fgClr>
                <a:srgbClr val="0070C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invest_inn!$S$6:$S$8</c:f>
              <c:strCache>
                <c:ptCount val="3"/>
                <c:pt idx="0">
                  <c:v>Ricerca e sviluppo</c:v>
                </c:pt>
                <c:pt idx="1">
                  <c:v>Software e database</c:v>
                </c:pt>
                <c:pt idx="2">
                  <c:v>Capitale fisico</c:v>
                </c:pt>
              </c:strCache>
            </c:strRef>
          </c:cat>
          <c:val>
            <c:numRef>
              <c:f>invest_inn!$U$6:$U$8</c:f>
              <c:numCache>
                <c:formatCode>#,##0</c:formatCode>
                <c:ptCount val="3"/>
                <c:pt idx="0">
                  <c:v>46</c:v>
                </c:pt>
                <c:pt idx="1">
                  <c:v>55.4</c:v>
                </c:pt>
                <c:pt idx="2">
                  <c:v>70.8</c:v>
                </c:pt>
              </c:numCache>
            </c:numRef>
          </c:val>
          <c:extLst>
            <c:ext xmlns:c16="http://schemas.microsoft.com/office/drawing/2014/chart" uri="{C3380CC4-5D6E-409C-BE32-E72D297353CC}">
              <c16:uniqueId val="{00000001-2172-47AD-86FF-53271775911E}"/>
            </c:ext>
          </c:extLst>
        </c:ser>
        <c:dLbls>
          <c:dLblPos val="outEnd"/>
          <c:showLegendKey val="0"/>
          <c:showVal val="1"/>
          <c:showCatName val="0"/>
          <c:showSerName val="0"/>
          <c:showPercent val="0"/>
          <c:showBubbleSize val="0"/>
        </c:dLbls>
        <c:gapWidth val="219"/>
        <c:overlap val="-27"/>
        <c:axId val="400831432"/>
        <c:axId val="400832088"/>
      </c:barChart>
      <c:catAx>
        <c:axId val="400831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it-IT"/>
          </a:p>
        </c:txPr>
        <c:crossAx val="400832088"/>
        <c:crosses val="autoZero"/>
        <c:auto val="1"/>
        <c:lblAlgn val="ctr"/>
        <c:lblOffset val="100"/>
        <c:noMultiLvlLbl val="0"/>
      </c:catAx>
      <c:valAx>
        <c:axId val="400832088"/>
        <c:scaling>
          <c:orientation val="minMax"/>
        </c:scaling>
        <c:delete val="1"/>
        <c:axPos val="l"/>
        <c:numFmt formatCode="#,##0" sourceLinked="1"/>
        <c:majorTickMark val="none"/>
        <c:minorTickMark val="none"/>
        <c:tickLblPos val="nextTo"/>
        <c:crossAx val="400831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it-IT"/>
        </a:p>
      </c:txPr>
    </c:legend>
    <c:plotVisOnly val="1"/>
    <c:dispBlanksAs val="gap"/>
    <c:showDLblsOverMax val="0"/>
  </c:chart>
  <c:spPr>
    <a:solidFill>
      <a:schemeClr val="bg1"/>
    </a:solidFill>
    <a:ln w="9525" cap="flat" cmpd="sng" algn="ctr">
      <a:noFill/>
      <a:round/>
    </a:ln>
    <a:effectLst/>
  </c:spPr>
  <c:txPr>
    <a:bodyPr/>
    <a:lstStyle/>
    <a:p>
      <a:pPr>
        <a:defRPr sz="1200">
          <a:solidFill>
            <a:schemeClr val="tx1"/>
          </a:solidFill>
        </a:defRPr>
      </a:pPr>
      <a:endParaRPr lang="it-IT"/>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invest_inn!$T$92</c:f>
              <c:strCache>
                <c:ptCount val="1"/>
                <c:pt idx="0">
                  <c:v>17-19</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invest_inn!$S$93:$S$96</c:f>
              <c:strCache>
                <c:ptCount val="4"/>
                <c:pt idx="0">
                  <c:v>Innovazione di processo</c:v>
                </c:pt>
                <c:pt idx="1">
                  <c:v>Innovazione di prodotto o servizio</c:v>
                </c:pt>
                <c:pt idx="2">
                  <c:v>Innovazione organizzativa</c:v>
                </c:pt>
                <c:pt idx="3">
                  <c:v>Innovazione di marketing</c:v>
                </c:pt>
              </c:strCache>
            </c:strRef>
          </c:cat>
          <c:val>
            <c:numRef>
              <c:f>invest_inn!$T$93:$T$96</c:f>
              <c:numCache>
                <c:formatCode>#,##0</c:formatCode>
                <c:ptCount val="4"/>
                <c:pt idx="0">
                  <c:v>64.599999999999994</c:v>
                </c:pt>
                <c:pt idx="1">
                  <c:v>61</c:v>
                </c:pt>
                <c:pt idx="2">
                  <c:v>56.3</c:v>
                </c:pt>
                <c:pt idx="3">
                  <c:v>56.1</c:v>
                </c:pt>
              </c:numCache>
            </c:numRef>
          </c:val>
          <c:extLst>
            <c:ext xmlns:c16="http://schemas.microsoft.com/office/drawing/2014/chart" uri="{C3380CC4-5D6E-409C-BE32-E72D297353CC}">
              <c16:uniqueId val="{00000000-2820-4062-9D9D-22AD5AC31C75}"/>
            </c:ext>
          </c:extLst>
        </c:ser>
        <c:ser>
          <c:idx val="1"/>
          <c:order val="1"/>
          <c:tx>
            <c:strRef>
              <c:f>invest_inn!$U$92</c:f>
              <c:strCache>
                <c:ptCount val="1"/>
                <c:pt idx="0">
                  <c:v>22-24</c:v>
                </c:pt>
              </c:strCache>
            </c:strRef>
          </c:tx>
          <c:spPr>
            <a:pattFill prst="ltUpDiag">
              <a:fgClr>
                <a:srgbClr val="0070C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invest_inn!$S$93:$S$96</c:f>
              <c:strCache>
                <c:ptCount val="4"/>
                <c:pt idx="0">
                  <c:v>Innovazione di processo</c:v>
                </c:pt>
                <c:pt idx="1">
                  <c:v>Innovazione di prodotto o servizio</c:v>
                </c:pt>
                <c:pt idx="2">
                  <c:v>Innovazione organizzativa</c:v>
                </c:pt>
                <c:pt idx="3">
                  <c:v>Innovazione di marketing</c:v>
                </c:pt>
              </c:strCache>
            </c:strRef>
          </c:cat>
          <c:val>
            <c:numRef>
              <c:f>invest_inn!$U$93:$U$96</c:f>
              <c:numCache>
                <c:formatCode>#,##0</c:formatCode>
                <c:ptCount val="4"/>
                <c:pt idx="0">
                  <c:v>55.8</c:v>
                </c:pt>
                <c:pt idx="1">
                  <c:v>51.8</c:v>
                </c:pt>
                <c:pt idx="2">
                  <c:v>50.6</c:v>
                </c:pt>
                <c:pt idx="3">
                  <c:v>51.1</c:v>
                </c:pt>
              </c:numCache>
            </c:numRef>
          </c:val>
          <c:extLst>
            <c:ext xmlns:c16="http://schemas.microsoft.com/office/drawing/2014/chart" uri="{C3380CC4-5D6E-409C-BE32-E72D297353CC}">
              <c16:uniqueId val="{00000001-2820-4062-9D9D-22AD5AC31C75}"/>
            </c:ext>
          </c:extLst>
        </c:ser>
        <c:dLbls>
          <c:dLblPos val="outEnd"/>
          <c:showLegendKey val="0"/>
          <c:showVal val="1"/>
          <c:showCatName val="0"/>
          <c:showSerName val="0"/>
          <c:showPercent val="0"/>
          <c:showBubbleSize val="0"/>
        </c:dLbls>
        <c:gapWidth val="219"/>
        <c:overlap val="-27"/>
        <c:axId val="400831432"/>
        <c:axId val="400832088"/>
      </c:barChart>
      <c:catAx>
        <c:axId val="400831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it-IT"/>
          </a:p>
        </c:txPr>
        <c:crossAx val="400832088"/>
        <c:crosses val="autoZero"/>
        <c:auto val="1"/>
        <c:lblAlgn val="ctr"/>
        <c:lblOffset val="100"/>
        <c:noMultiLvlLbl val="0"/>
      </c:catAx>
      <c:valAx>
        <c:axId val="400832088"/>
        <c:scaling>
          <c:orientation val="minMax"/>
        </c:scaling>
        <c:delete val="1"/>
        <c:axPos val="l"/>
        <c:numFmt formatCode="#,##0" sourceLinked="1"/>
        <c:majorTickMark val="none"/>
        <c:minorTickMark val="none"/>
        <c:tickLblPos val="nextTo"/>
        <c:crossAx val="400831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it-IT"/>
        </a:p>
      </c:txPr>
    </c:legend>
    <c:plotVisOnly val="1"/>
    <c:dispBlanksAs val="gap"/>
    <c:showDLblsOverMax val="0"/>
  </c:chart>
  <c:spPr>
    <a:solidFill>
      <a:schemeClr val="bg1"/>
    </a:solidFill>
    <a:ln w="9525" cap="flat" cmpd="sng" algn="ctr">
      <a:noFill/>
      <a:round/>
    </a:ln>
    <a:effectLst/>
  </c:spPr>
  <c:txPr>
    <a:bodyPr/>
    <a:lstStyle/>
    <a:p>
      <a:pPr>
        <a:defRPr sz="1200">
          <a:solidFill>
            <a:schemeClr val="tx1"/>
          </a:solidFill>
        </a:defRPr>
      </a:pPr>
      <a:endParaRPr lang="it-IT"/>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formazione!$T$36</c:f>
              <c:strCache>
                <c:ptCount val="1"/>
                <c:pt idx="0">
                  <c:v>17-19</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formazione!$S$37:$S$38</c:f>
              <c:strCache>
                <c:ptCount val="2"/>
                <c:pt idx="0">
                  <c:v>Accrescimento attuali competenze</c:v>
                </c:pt>
                <c:pt idx="1">
                  <c:v>Nuove competenze</c:v>
                </c:pt>
              </c:strCache>
            </c:strRef>
          </c:cat>
          <c:val>
            <c:numRef>
              <c:f>formazione!$T$37:$T$38</c:f>
              <c:numCache>
                <c:formatCode>#,##0</c:formatCode>
                <c:ptCount val="2"/>
                <c:pt idx="0">
                  <c:v>87.1</c:v>
                </c:pt>
                <c:pt idx="1">
                  <c:v>69.5</c:v>
                </c:pt>
              </c:numCache>
            </c:numRef>
          </c:val>
          <c:extLst>
            <c:ext xmlns:c16="http://schemas.microsoft.com/office/drawing/2014/chart" uri="{C3380CC4-5D6E-409C-BE32-E72D297353CC}">
              <c16:uniqueId val="{00000000-7AE3-4717-8F57-D613D40C7588}"/>
            </c:ext>
          </c:extLst>
        </c:ser>
        <c:ser>
          <c:idx val="1"/>
          <c:order val="1"/>
          <c:tx>
            <c:strRef>
              <c:f>formazione!$U$36</c:f>
              <c:strCache>
                <c:ptCount val="1"/>
                <c:pt idx="0">
                  <c:v>22-24</c:v>
                </c:pt>
              </c:strCache>
            </c:strRef>
          </c:tx>
          <c:spPr>
            <a:pattFill prst="ltUpDiag">
              <a:fgClr>
                <a:srgbClr val="0070C0"/>
              </a:fgClr>
              <a:bgClr>
                <a:schemeClr val="bg1"/>
              </a:bgClr>
            </a:patt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formazione!$S$37:$S$38</c:f>
              <c:strCache>
                <c:ptCount val="2"/>
                <c:pt idx="0">
                  <c:v>Accrescimento attuali competenze</c:v>
                </c:pt>
                <c:pt idx="1">
                  <c:v>Nuove competenze</c:v>
                </c:pt>
              </c:strCache>
            </c:strRef>
          </c:cat>
          <c:val>
            <c:numRef>
              <c:f>formazione!$U$37:$U$38</c:f>
              <c:numCache>
                <c:formatCode>#,##0</c:formatCode>
                <c:ptCount val="2"/>
                <c:pt idx="0">
                  <c:v>81.3</c:v>
                </c:pt>
                <c:pt idx="1">
                  <c:v>65.8</c:v>
                </c:pt>
              </c:numCache>
            </c:numRef>
          </c:val>
          <c:extLst>
            <c:ext xmlns:c16="http://schemas.microsoft.com/office/drawing/2014/chart" uri="{C3380CC4-5D6E-409C-BE32-E72D297353CC}">
              <c16:uniqueId val="{00000001-7AE3-4717-8F57-D613D40C7588}"/>
            </c:ext>
          </c:extLst>
        </c:ser>
        <c:dLbls>
          <c:dLblPos val="outEnd"/>
          <c:showLegendKey val="0"/>
          <c:showVal val="1"/>
          <c:showCatName val="0"/>
          <c:showSerName val="0"/>
          <c:showPercent val="0"/>
          <c:showBubbleSize val="0"/>
        </c:dLbls>
        <c:gapWidth val="219"/>
        <c:overlap val="-27"/>
        <c:axId val="560073080"/>
        <c:axId val="560073736"/>
      </c:barChart>
      <c:catAx>
        <c:axId val="560073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it-IT"/>
          </a:p>
        </c:txPr>
        <c:crossAx val="560073736"/>
        <c:crosses val="autoZero"/>
        <c:auto val="1"/>
        <c:lblAlgn val="ctr"/>
        <c:lblOffset val="100"/>
        <c:noMultiLvlLbl val="0"/>
      </c:catAx>
      <c:valAx>
        <c:axId val="560073736"/>
        <c:scaling>
          <c:orientation val="minMax"/>
        </c:scaling>
        <c:delete val="1"/>
        <c:axPos val="l"/>
        <c:numFmt formatCode="#,##0" sourceLinked="1"/>
        <c:majorTickMark val="none"/>
        <c:minorTickMark val="none"/>
        <c:tickLblPos val="nextTo"/>
        <c:crossAx val="560073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it-IT"/>
        </a:p>
      </c:txPr>
    </c:legend>
    <c:plotVisOnly val="1"/>
    <c:dispBlanksAs val="gap"/>
    <c:showDLblsOverMax val="0"/>
  </c:chart>
  <c:spPr>
    <a:solidFill>
      <a:schemeClr val="bg1"/>
    </a:solidFill>
    <a:ln w="9525" cap="flat" cmpd="sng" algn="ctr">
      <a:noFill/>
      <a:round/>
    </a:ln>
    <a:effectLst/>
  </c:spPr>
  <c:txPr>
    <a:bodyPr/>
    <a:lstStyle/>
    <a:p>
      <a:pPr>
        <a:defRPr sz="1200">
          <a:solidFill>
            <a:schemeClr val="tx1"/>
          </a:solidFill>
        </a:defRPr>
      </a:pPr>
      <a:endParaRPr lang="it-IT"/>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formazione!$S$125:$S$128</c:f>
              <c:strCache>
                <c:ptCount val="4"/>
                <c:pt idx="0">
                  <c:v>Società di formazione professionale</c:v>
                </c:pt>
                <c:pt idx="1">
                  <c:v>Associazioni di categoria/Istituzioni territoriali</c:v>
                </c:pt>
                <c:pt idx="2">
                  <c:v>Università </c:v>
                </c:pt>
                <c:pt idx="3">
                  <c:v>Business school</c:v>
                </c:pt>
              </c:strCache>
            </c:strRef>
          </c:cat>
          <c:val>
            <c:numRef>
              <c:f>formazione!$T$125:$T$128</c:f>
              <c:numCache>
                <c:formatCode>#,##0</c:formatCode>
                <c:ptCount val="4"/>
                <c:pt idx="0">
                  <c:v>77.900000000000006</c:v>
                </c:pt>
                <c:pt idx="1">
                  <c:v>23.2</c:v>
                </c:pt>
                <c:pt idx="2">
                  <c:v>3.7</c:v>
                </c:pt>
                <c:pt idx="3">
                  <c:v>0</c:v>
                </c:pt>
              </c:numCache>
            </c:numRef>
          </c:val>
          <c:extLst>
            <c:ext xmlns:c16="http://schemas.microsoft.com/office/drawing/2014/chart" uri="{C3380CC4-5D6E-409C-BE32-E72D297353CC}">
              <c16:uniqueId val="{00000000-CEDD-4A7E-ABD4-9E71DD4D9AC7}"/>
            </c:ext>
          </c:extLst>
        </c:ser>
        <c:dLbls>
          <c:dLblPos val="outEnd"/>
          <c:showLegendKey val="0"/>
          <c:showVal val="1"/>
          <c:showCatName val="0"/>
          <c:showSerName val="0"/>
          <c:showPercent val="0"/>
          <c:showBubbleSize val="0"/>
        </c:dLbls>
        <c:gapWidth val="219"/>
        <c:overlap val="-27"/>
        <c:axId val="507536624"/>
        <c:axId val="507532032"/>
      </c:barChart>
      <c:catAx>
        <c:axId val="507536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it-IT"/>
          </a:p>
        </c:txPr>
        <c:crossAx val="507532032"/>
        <c:crosses val="autoZero"/>
        <c:auto val="1"/>
        <c:lblAlgn val="ctr"/>
        <c:lblOffset val="100"/>
        <c:noMultiLvlLbl val="0"/>
      </c:catAx>
      <c:valAx>
        <c:axId val="507532032"/>
        <c:scaling>
          <c:orientation val="minMax"/>
        </c:scaling>
        <c:delete val="1"/>
        <c:axPos val="l"/>
        <c:numFmt formatCode="#,##0" sourceLinked="1"/>
        <c:majorTickMark val="none"/>
        <c:minorTickMark val="none"/>
        <c:tickLblPos val="nextTo"/>
        <c:crossAx val="507536624"/>
        <c:crosses val="autoZero"/>
        <c:crossBetween val="between"/>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sz="1200">
          <a:solidFill>
            <a:schemeClr val="tx1"/>
          </a:solidFill>
        </a:defRPr>
      </a:pPr>
      <a:endParaRPr lang="it-IT"/>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'impresa 4.0'!$T$5</c:f>
              <c:strCache>
                <c:ptCount val="1"/>
                <c:pt idx="0">
                  <c:v>Conoscenza delle misure del Piano Nazionale Impresa 4.0</c:v>
                </c:pt>
              </c:strCache>
            </c:strRef>
          </c:tx>
          <c:spPr>
            <a:solidFill>
              <a:schemeClr val="accent1"/>
            </a:solidFill>
            <a:ln>
              <a:noFill/>
            </a:ln>
            <a:effectLst/>
          </c:spPr>
          <c:invertIfNegative val="0"/>
          <c:dPt>
            <c:idx val="0"/>
            <c:invertIfNegative val="0"/>
            <c:bubble3D val="0"/>
            <c:spPr>
              <a:solidFill>
                <a:srgbClr val="002060"/>
              </a:solidFill>
              <a:ln>
                <a:noFill/>
              </a:ln>
              <a:effectLst/>
            </c:spPr>
            <c:extLst>
              <c:ext xmlns:c16="http://schemas.microsoft.com/office/drawing/2014/chart" uri="{C3380CC4-5D6E-409C-BE32-E72D297353CC}">
                <c16:uniqueId val="{00000001-C949-4FBB-9297-4AF9C5C4A022}"/>
              </c:ext>
            </c:extLst>
          </c:dPt>
          <c:dPt>
            <c:idx val="1"/>
            <c:invertIfNegative val="0"/>
            <c:bubble3D val="0"/>
            <c:spPr>
              <a:solidFill>
                <a:srgbClr val="0070C0"/>
              </a:solidFill>
              <a:ln>
                <a:noFill/>
              </a:ln>
              <a:effectLst/>
            </c:spPr>
            <c:extLst>
              <c:ext xmlns:c16="http://schemas.microsoft.com/office/drawing/2014/chart" uri="{C3380CC4-5D6E-409C-BE32-E72D297353CC}">
                <c16:uniqueId val="{00000003-C949-4FBB-9297-4AF9C5C4A022}"/>
              </c:ext>
            </c:extLst>
          </c:dPt>
          <c:dPt>
            <c:idx val="2"/>
            <c:invertIfNegative val="0"/>
            <c:bubble3D val="0"/>
            <c:spPr>
              <a:solidFill>
                <a:srgbClr val="00B0F0"/>
              </a:solidFill>
              <a:ln>
                <a:noFill/>
              </a:ln>
              <a:effectLst/>
            </c:spPr>
            <c:extLst>
              <c:ext xmlns:c16="http://schemas.microsoft.com/office/drawing/2014/chart" uri="{C3380CC4-5D6E-409C-BE32-E72D297353CC}">
                <c16:uniqueId val="{00000005-C949-4FBB-9297-4AF9C5C4A022}"/>
              </c:ext>
            </c:extLst>
          </c:dPt>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'impresa 4.0'!$S$6:$S$8</c:f>
              <c:strCache>
                <c:ptCount val="3"/>
                <c:pt idx="0">
                  <c:v>Imprese agricole</c:v>
                </c:pt>
                <c:pt idx="1">
                  <c:v>Imprese dei servizi</c:v>
                </c:pt>
                <c:pt idx="2">
                  <c:v>Imprese manifatturiere</c:v>
                </c:pt>
              </c:strCache>
            </c:strRef>
          </c:cat>
          <c:val>
            <c:numRef>
              <c:f>'impresa 4.0'!$T$6:$T$8</c:f>
              <c:numCache>
                <c:formatCode>#,##0</c:formatCode>
                <c:ptCount val="3"/>
                <c:pt idx="0">
                  <c:v>32</c:v>
                </c:pt>
                <c:pt idx="1">
                  <c:v>32</c:v>
                </c:pt>
                <c:pt idx="2">
                  <c:v>63</c:v>
                </c:pt>
              </c:numCache>
            </c:numRef>
          </c:val>
          <c:extLst>
            <c:ext xmlns:c16="http://schemas.microsoft.com/office/drawing/2014/chart" uri="{C3380CC4-5D6E-409C-BE32-E72D297353CC}">
              <c16:uniqueId val="{00000006-C949-4FBB-9297-4AF9C5C4A022}"/>
            </c:ext>
          </c:extLst>
        </c:ser>
        <c:dLbls>
          <c:showLegendKey val="0"/>
          <c:showVal val="0"/>
          <c:showCatName val="0"/>
          <c:showSerName val="0"/>
          <c:showPercent val="0"/>
          <c:showBubbleSize val="0"/>
        </c:dLbls>
        <c:gapWidth val="219"/>
        <c:overlap val="-27"/>
        <c:axId val="400839304"/>
        <c:axId val="400839960"/>
      </c:barChart>
      <c:catAx>
        <c:axId val="400839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it-IT"/>
          </a:p>
        </c:txPr>
        <c:crossAx val="400839960"/>
        <c:crosses val="autoZero"/>
        <c:auto val="1"/>
        <c:lblAlgn val="ctr"/>
        <c:lblOffset val="100"/>
        <c:noMultiLvlLbl val="0"/>
      </c:catAx>
      <c:valAx>
        <c:axId val="400839960"/>
        <c:scaling>
          <c:orientation val="minMax"/>
        </c:scaling>
        <c:delete val="1"/>
        <c:axPos val="l"/>
        <c:numFmt formatCode="#,##0" sourceLinked="1"/>
        <c:majorTickMark val="none"/>
        <c:minorTickMark val="none"/>
        <c:tickLblPos val="nextTo"/>
        <c:crossAx val="4008393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100">
          <a:solidFill>
            <a:schemeClr val="tx1"/>
          </a:solidFill>
        </a:defRPr>
      </a:pPr>
      <a:endParaRPr lang="it-IT"/>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'impresa 4.0'!$AG$30</c:f>
              <c:strCache>
                <c:ptCount val="1"/>
                <c:pt idx="0">
                  <c:v>Imprese agricole</c:v>
                </c:pt>
              </c:strCache>
            </c:strRef>
          </c:tx>
          <c:spPr>
            <a:solidFill>
              <a:srgbClr val="002060"/>
            </a:solidFill>
            <a:ln>
              <a:noFill/>
            </a:ln>
            <a:effectLst/>
          </c:spPr>
          <c:invertIfNegative val="0"/>
          <c:dPt>
            <c:idx val="2"/>
            <c:invertIfNegative val="0"/>
            <c:bubble3D val="0"/>
            <c:spPr>
              <a:pattFill prst="ltDnDiag">
                <a:fgClr>
                  <a:srgbClr val="002060"/>
                </a:fgClr>
                <a:bgClr>
                  <a:schemeClr val="bg1"/>
                </a:bgClr>
              </a:pattFill>
              <a:ln>
                <a:noFill/>
              </a:ln>
              <a:effectLst/>
            </c:spPr>
            <c:extLst>
              <c:ext xmlns:c16="http://schemas.microsoft.com/office/drawing/2014/chart" uri="{C3380CC4-5D6E-409C-BE32-E72D297353CC}">
                <c16:uniqueId val="{00000001-BEE8-4F16-97CA-7EAE566B973E}"/>
              </c:ext>
            </c:extLst>
          </c:dPt>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'impresa 4.0'!$AH$29:$AJ$29</c:f>
              <c:strCache>
                <c:ptCount val="3"/>
                <c:pt idx="0">
                  <c:v>17-19</c:v>
                </c:pt>
                <c:pt idx="1">
                  <c:v>20-21</c:v>
                </c:pt>
                <c:pt idx="2">
                  <c:v>22-24</c:v>
                </c:pt>
              </c:strCache>
            </c:strRef>
          </c:cat>
          <c:val>
            <c:numRef>
              <c:f>'impresa 4.0'!$AH$30:$AJ$30</c:f>
              <c:numCache>
                <c:formatCode>0</c:formatCode>
                <c:ptCount val="3"/>
                <c:pt idx="0">
                  <c:v>3.5999999999999996</c:v>
                </c:pt>
                <c:pt idx="1">
                  <c:v>19.8</c:v>
                </c:pt>
                <c:pt idx="2">
                  <c:v>23</c:v>
                </c:pt>
              </c:numCache>
            </c:numRef>
          </c:val>
          <c:extLst>
            <c:ext xmlns:c16="http://schemas.microsoft.com/office/drawing/2014/chart" uri="{C3380CC4-5D6E-409C-BE32-E72D297353CC}">
              <c16:uniqueId val="{00000002-BEE8-4F16-97CA-7EAE566B973E}"/>
            </c:ext>
          </c:extLst>
        </c:ser>
        <c:ser>
          <c:idx val="1"/>
          <c:order val="1"/>
          <c:tx>
            <c:strRef>
              <c:f>'impresa 4.0'!$AG$31</c:f>
              <c:strCache>
                <c:ptCount val="1"/>
                <c:pt idx="0">
                  <c:v>Imprese dei servizi</c:v>
                </c:pt>
              </c:strCache>
            </c:strRef>
          </c:tx>
          <c:spPr>
            <a:solidFill>
              <a:srgbClr val="0070C0"/>
            </a:solidFill>
            <a:ln>
              <a:noFill/>
            </a:ln>
            <a:effectLst/>
          </c:spPr>
          <c:invertIfNegative val="0"/>
          <c:dPt>
            <c:idx val="2"/>
            <c:invertIfNegative val="0"/>
            <c:bubble3D val="0"/>
            <c:spPr>
              <a:pattFill prst="ltUpDiag">
                <a:fgClr>
                  <a:srgbClr val="0070C0"/>
                </a:fgClr>
                <a:bgClr>
                  <a:schemeClr val="bg1"/>
                </a:bgClr>
              </a:pattFill>
              <a:ln>
                <a:noFill/>
              </a:ln>
              <a:effectLst/>
            </c:spPr>
            <c:extLst>
              <c:ext xmlns:c16="http://schemas.microsoft.com/office/drawing/2014/chart" uri="{C3380CC4-5D6E-409C-BE32-E72D297353CC}">
                <c16:uniqueId val="{00000004-BEE8-4F16-97CA-7EAE566B973E}"/>
              </c:ext>
            </c:extLst>
          </c:dPt>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'impresa 4.0'!$AH$29:$AJ$29</c:f>
              <c:strCache>
                <c:ptCount val="3"/>
                <c:pt idx="0">
                  <c:v>17-19</c:v>
                </c:pt>
                <c:pt idx="1">
                  <c:v>20-21</c:v>
                </c:pt>
                <c:pt idx="2">
                  <c:v>22-24</c:v>
                </c:pt>
              </c:strCache>
            </c:strRef>
          </c:cat>
          <c:val>
            <c:numRef>
              <c:f>'impresa 4.0'!$AH$31:$AJ$31</c:f>
              <c:numCache>
                <c:formatCode>0</c:formatCode>
                <c:ptCount val="3"/>
                <c:pt idx="0">
                  <c:v>8.6132644272179171</c:v>
                </c:pt>
                <c:pt idx="1">
                  <c:v>13.867355727820843</c:v>
                </c:pt>
                <c:pt idx="2">
                  <c:v>16.968130921619291</c:v>
                </c:pt>
              </c:numCache>
            </c:numRef>
          </c:val>
          <c:extLst>
            <c:ext xmlns:c16="http://schemas.microsoft.com/office/drawing/2014/chart" uri="{C3380CC4-5D6E-409C-BE32-E72D297353CC}">
              <c16:uniqueId val="{00000005-BEE8-4F16-97CA-7EAE566B973E}"/>
            </c:ext>
          </c:extLst>
        </c:ser>
        <c:ser>
          <c:idx val="2"/>
          <c:order val="2"/>
          <c:tx>
            <c:strRef>
              <c:f>'impresa 4.0'!$AG$32</c:f>
              <c:strCache>
                <c:ptCount val="1"/>
                <c:pt idx="0">
                  <c:v>Imprese manifatturiere</c:v>
                </c:pt>
              </c:strCache>
            </c:strRef>
          </c:tx>
          <c:spPr>
            <a:solidFill>
              <a:srgbClr val="00B0F0"/>
            </a:solidFill>
            <a:ln>
              <a:noFill/>
            </a:ln>
            <a:effectLst/>
          </c:spPr>
          <c:invertIfNegative val="0"/>
          <c:dPt>
            <c:idx val="2"/>
            <c:invertIfNegative val="0"/>
            <c:bubble3D val="0"/>
            <c:spPr>
              <a:pattFill prst="ltDnDiag">
                <a:fgClr>
                  <a:srgbClr val="00B0F0"/>
                </a:fgClr>
                <a:bgClr>
                  <a:schemeClr val="bg1"/>
                </a:bgClr>
              </a:pattFill>
              <a:ln>
                <a:noFill/>
              </a:ln>
              <a:effectLst/>
            </c:spPr>
            <c:extLst>
              <c:ext xmlns:c16="http://schemas.microsoft.com/office/drawing/2014/chart" uri="{C3380CC4-5D6E-409C-BE32-E72D297353CC}">
                <c16:uniqueId val="{00000007-BEE8-4F16-97CA-7EAE566B973E}"/>
              </c:ext>
            </c:extLst>
          </c:dPt>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'impresa 4.0'!$AH$29:$AJ$29</c:f>
              <c:strCache>
                <c:ptCount val="3"/>
                <c:pt idx="0">
                  <c:v>17-19</c:v>
                </c:pt>
                <c:pt idx="1">
                  <c:v>20-21</c:v>
                </c:pt>
                <c:pt idx="2">
                  <c:v>22-24</c:v>
                </c:pt>
              </c:strCache>
            </c:strRef>
          </c:cat>
          <c:val>
            <c:numRef>
              <c:f>'impresa 4.0'!$AH$32:$AJ$32</c:f>
              <c:numCache>
                <c:formatCode>0</c:formatCode>
                <c:ptCount val="3"/>
                <c:pt idx="0">
                  <c:v>26.43333333333333</c:v>
                </c:pt>
                <c:pt idx="1">
                  <c:v>37.533333333333339</c:v>
                </c:pt>
                <c:pt idx="2">
                  <c:v>42.5</c:v>
                </c:pt>
              </c:numCache>
            </c:numRef>
          </c:val>
          <c:extLst>
            <c:ext xmlns:c16="http://schemas.microsoft.com/office/drawing/2014/chart" uri="{C3380CC4-5D6E-409C-BE32-E72D297353CC}">
              <c16:uniqueId val="{00000008-BEE8-4F16-97CA-7EAE566B973E}"/>
            </c:ext>
          </c:extLst>
        </c:ser>
        <c:dLbls>
          <c:dLblPos val="outEnd"/>
          <c:showLegendKey val="0"/>
          <c:showVal val="1"/>
          <c:showCatName val="0"/>
          <c:showSerName val="0"/>
          <c:showPercent val="0"/>
          <c:showBubbleSize val="0"/>
        </c:dLbls>
        <c:gapWidth val="219"/>
        <c:overlap val="-27"/>
        <c:axId val="511142728"/>
        <c:axId val="511143712"/>
      </c:barChart>
      <c:catAx>
        <c:axId val="511142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it-IT"/>
          </a:p>
        </c:txPr>
        <c:crossAx val="511143712"/>
        <c:crosses val="autoZero"/>
        <c:auto val="1"/>
        <c:lblAlgn val="ctr"/>
        <c:lblOffset val="100"/>
        <c:noMultiLvlLbl val="0"/>
      </c:catAx>
      <c:valAx>
        <c:axId val="511143712"/>
        <c:scaling>
          <c:orientation val="minMax"/>
        </c:scaling>
        <c:delete val="1"/>
        <c:axPos val="l"/>
        <c:numFmt formatCode="0" sourceLinked="1"/>
        <c:majorTickMark val="none"/>
        <c:minorTickMark val="none"/>
        <c:tickLblPos val="nextTo"/>
        <c:crossAx val="511142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it-IT"/>
        </a:p>
      </c:txPr>
    </c:legend>
    <c:plotVisOnly val="1"/>
    <c:dispBlanksAs val="gap"/>
    <c:showDLblsOverMax val="0"/>
  </c:chart>
  <c:spPr>
    <a:solidFill>
      <a:schemeClr val="bg1"/>
    </a:solidFill>
    <a:ln w="9525" cap="flat" cmpd="sng" algn="ctr">
      <a:noFill/>
      <a:round/>
    </a:ln>
    <a:effectLst/>
  </c:spPr>
  <c:txPr>
    <a:bodyPr/>
    <a:lstStyle/>
    <a:p>
      <a:pPr>
        <a:defRPr sz="1100">
          <a:solidFill>
            <a:schemeClr val="tx1"/>
          </a:solidFill>
        </a:defRPr>
      </a:pPr>
      <a:endParaRPr lang="it-IT"/>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'impresa 4.0'!$AL$23:$AL$34</c:f>
              <c:strCache>
                <c:ptCount val="12"/>
                <c:pt idx="0">
                  <c:v>Simulazione fra macchine connesse per ottimizzare i processi</c:v>
                </c:pt>
                <c:pt idx="1">
                  <c:v>Integrazione orizzontale e verticale di filiera</c:v>
                </c:pt>
                <c:pt idx="2">
                  <c:v>Big data e analytics</c:v>
                </c:pt>
                <c:pt idx="3">
                  <c:v>Machine learning</c:v>
                </c:pt>
                <c:pt idx="4">
                  <c:v>Cloud computing</c:v>
                </c:pt>
                <c:pt idx="5">
                  <c:v>Internet of Things </c:v>
                </c:pt>
                <c:pt idx="6">
                  <c:v>Robotica</c:v>
                </c:pt>
                <c:pt idx="7">
                  <c:v>Cyber security </c:v>
                </c:pt>
                <c:pt idx="8">
                  <c:v>Blockchain</c:v>
                </c:pt>
                <c:pt idx="9">
                  <c:v>Stampanti 3D </c:v>
                </c:pt>
                <c:pt idx="10">
                  <c:v>Realtà aumentata e virtuale</c:v>
                </c:pt>
                <c:pt idx="11">
                  <c:v>Intelligenza Artificiale</c:v>
                </c:pt>
              </c:strCache>
            </c:strRef>
          </c:cat>
          <c:val>
            <c:numRef>
              <c:f>'impresa 4.0'!$AM$23:$AM$34</c:f>
              <c:numCache>
                <c:formatCode>0</c:formatCode>
                <c:ptCount val="12"/>
                <c:pt idx="0">
                  <c:v>25.053016672588541</c:v>
                </c:pt>
                <c:pt idx="1">
                  <c:v>16.440941116046908</c:v>
                </c:pt>
                <c:pt idx="2">
                  <c:v>11.103346346295796</c:v>
                </c:pt>
                <c:pt idx="3">
                  <c:v>9.3588987026355177</c:v>
                </c:pt>
                <c:pt idx="4">
                  <c:v>7.0321078339741705</c:v>
                </c:pt>
                <c:pt idx="5">
                  <c:v>5.4417384009398777</c:v>
                </c:pt>
                <c:pt idx="6">
                  <c:v>5.3131779678076683</c:v>
                </c:pt>
                <c:pt idx="7">
                  <c:v>2.6842253784920005</c:v>
                </c:pt>
                <c:pt idx="8">
                  <c:v>2.2693888140871454</c:v>
                </c:pt>
                <c:pt idx="9">
                  <c:v>1.1013713848903424</c:v>
                </c:pt>
                <c:pt idx="10">
                  <c:v>1.1013713848903424</c:v>
                </c:pt>
                <c:pt idx="11">
                  <c:v>0.74398245849842171</c:v>
                </c:pt>
              </c:numCache>
            </c:numRef>
          </c:val>
          <c:extLst>
            <c:ext xmlns:c16="http://schemas.microsoft.com/office/drawing/2014/chart" uri="{C3380CC4-5D6E-409C-BE32-E72D297353CC}">
              <c16:uniqueId val="{00000000-D365-4977-9FC8-F75DB747F40D}"/>
            </c:ext>
          </c:extLst>
        </c:ser>
        <c:dLbls>
          <c:showLegendKey val="0"/>
          <c:showVal val="0"/>
          <c:showCatName val="0"/>
          <c:showSerName val="0"/>
          <c:showPercent val="0"/>
          <c:showBubbleSize val="0"/>
        </c:dLbls>
        <c:gapWidth val="150"/>
        <c:axId val="624320512"/>
        <c:axId val="624316248"/>
      </c:barChart>
      <c:catAx>
        <c:axId val="62432051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it-IT"/>
          </a:p>
        </c:txPr>
        <c:crossAx val="624316248"/>
        <c:crosses val="autoZero"/>
        <c:auto val="1"/>
        <c:lblAlgn val="ctr"/>
        <c:lblOffset val="100"/>
        <c:noMultiLvlLbl val="0"/>
      </c:catAx>
      <c:valAx>
        <c:axId val="624316248"/>
        <c:scaling>
          <c:orientation val="minMax"/>
        </c:scaling>
        <c:delete val="1"/>
        <c:axPos val="t"/>
        <c:numFmt formatCode="0" sourceLinked="1"/>
        <c:majorTickMark val="none"/>
        <c:minorTickMark val="none"/>
        <c:tickLblPos val="nextTo"/>
        <c:crossAx val="6243205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100">
          <a:solidFill>
            <a:schemeClr val="tx1"/>
          </a:solidFill>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002060"/>
              </a:solidFill>
              <a:ln>
                <a:noFill/>
              </a:ln>
              <a:effectLst/>
            </c:spPr>
            <c:extLst>
              <c:ext xmlns:c16="http://schemas.microsoft.com/office/drawing/2014/chart" uri="{C3380CC4-5D6E-409C-BE32-E72D297353CC}">
                <c16:uniqueId val="{00000001-12CF-46BA-90DB-EF82ECF989EA}"/>
              </c:ext>
            </c:extLst>
          </c:dPt>
          <c:dPt>
            <c:idx val="1"/>
            <c:invertIfNegative val="0"/>
            <c:bubble3D val="0"/>
            <c:spPr>
              <a:solidFill>
                <a:srgbClr val="0070C0"/>
              </a:solidFill>
              <a:ln>
                <a:noFill/>
              </a:ln>
              <a:effectLst/>
            </c:spPr>
            <c:extLst>
              <c:ext xmlns:c16="http://schemas.microsoft.com/office/drawing/2014/chart" uri="{C3380CC4-5D6E-409C-BE32-E72D297353CC}">
                <c16:uniqueId val="{00000003-12CF-46BA-90DB-EF82ECF989EA}"/>
              </c:ext>
            </c:extLst>
          </c:dPt>
          <c:dPt>
            <c:idx val="2"/>
            <c:invertIfNegative val="0"/>
            <c:bubble3D val="0"/>
            <c:spPr>
              <a:solidFill>
                <a:srgbClr val="00B0F0"/>
              </a:solidFill>
              <a:ln>
                <a:noFill/>
              </a:ln>
              <a:effectLst/>
            </c:spPr>
            <c:extLst>
              <c:ext xmlns:c16="http://schemas.microsoft.com/office/drawing/2014/chart" uri="{C3380CC4-5D6E-409C-BE32-E72D297353CC}">
                <c16:uniqueId val="{00000005-12CF-46BA-90DB-EF82ECF989EA}"/>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Foglio1!$S$24:$S$26</c:f>
              <c:strCache>
                <c:ptCount val="3"/>
                <c:pt idx="0">
                  <c:v>Prima generazione di fondatori dell’impresa</c:v>
                </c:pt>
                <c:pt idx="1">
                  <c:v>Seconda generazione</c:v>
                </c:pt>
                <c:pt idx="2">
                  <c:v>Terza o successiva generazione</c:v>
                </c:pt>
              </c:strCache>
            </c:strRef>
          </c:cat>
          <c:val>
            <c:numRef>
              <c:f>Foglio1!$T$24:$T$26</c:f>
              <c:numCache>
                <c:formatCode>0</c:formatCode>
                <c:ptCount val="3"/>
                <c:pt idx="0">
                  <c:v>45.4</c:v>
                </c:pt>
                <c:pt idx="1">
                  <c:v>38.4</c:v>
                </c:pt>
                <c:pt idx="2">
                  <c:v>16.100000000000001</c:v>
                </c:pt>
              </c:numCache>
            </c:numRef>
          </c:val>
          <c:extLst>
            <c:ext xmlns:c16="http://schemas.microsoft.com/office/drawing/2014/chart" uri="{C3380CC4-5D6E-409C-BE32-E72D297353CC}">
              <c16:uniqueId val="{00000006-12CF-46BA-90DB-EF82ECF989EA}"/>
            </c:ext>
          </c:extLst>
        </c:ser>
        <c:dLbls>
          <c:showLegendKey val="0"/>
          <c:showVal val="0"/>
          <c:showCatName val="0"/>
          <c:showSerName val="0"/>
          <c:showPercent val="0"/>
          <c:showBubbleSize val="0"/>
        </c:dLbls>
        <c:gapWidth val="219"/>
        <c:overlap val="-27"/>
        <c:axId val="90258232"/>
        <c:axId val="90257248"/>
      </c:barChart>
      <c:catAx>
        <c:axId val="90258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it-IT"/>
          </a:p>
        </c:txPr>
        <c:crossAx val="90257248"/>
        <c:crosses val="autoZero"/>
        <c:auto val="1"/>
        <c:lblAlgn val="ctr"/>
        <c:lblOffset val="100"/>
        <c:noMultiLvlLbl val="0"/>
      </c:catAx>
      <c:valAx>
        <c:axId val="90257248"/>
        <c:scaling>
          <c:orientation val="minMax"/>
        </c:scaling>
        <c:delete val="1"/>
        <c:axPos val="l"/>
        <c:numFmt formatCode="0" sourceLinked="1"/>
        <c:majorTickMark val="none"/>
        <c:minorTickMark val="none"/>
        <c:tickLblPos val="nextTo"/>
        <c:crossAx val="902582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chemeClr val="tx1"/>
          </a:solidFill>
        </a:defRPr>
      </a:pPr>
      <a:endParaRPr lang="it-IT"/>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'impresa 4.0'!$S$59:$S$65</c:f>
              <c:strCache>
                <c:ptCount val="7"/>
                <c:pt idx="0">
                  <c:v>Miglioramento efficienza produttiva</c:v>
                </c:pt>
                <c:pt idx="1">
                  <c:v>Qualificazione della forza lavoro</c:v>
                </c:pt>
                <c:pt idx="2">
                  <c:v>Ampliamento offerta di beni e servizi</c:v>
                </c:pt>
                <c:pt idx="3">
                  <c:v>Rafforzamento delle relazioni di filiera</c:v>
                </c:pt>
                <c:pt idx="4">
                  <c:v>Servitizzazione</c:v>
                </c:pt>
                <c:pt idx="5">
                  <c:v>Nuovi mercati</c:v>
                </c:pt>
                <c:pt idx="6">
                  <c:v>Sviluppo delle relazioni con i clienti</c:v>
                </c:pt>
              </c:strCache>
            </c:strRef>
          </c:cat>
          <c:val>
            <c:numRef>
              <c:f>'impresa 4.0'!$T$59:$T$65</c:f>
              <c:numCache>
                <c:formatCode>#,##0</c:formatCode>
                <c:ptCount val="7"/>
                <c:pt idx="0">
                  <c:v>82.6</c:v>
                </c:pt>
                <c:pt idx="1">
                  <c:v>63.4</c:v>
                </c:pt>
                <c:pt idx="2">
                  <c:v>57.6</c:v>
                </c:pt>
                <c:pt idx="3">
                  <c:v>51.6</c:v>
                </c:pt>
                <c:pt idx="4">
                  <c:v>49.8</c:v>
                </c:pt>
                <c:pt idx="5">
                  <c:v>46.7</c:v>
                </c:pt>
                <c:pt idx="6">
                  <c:v>45.6</c:v>
                </c:pt>
              </c:numCache>
            </c:numRef>
          </c:val>
          <c:extLst>
            <c:ext xmlns:c16="http://schemas.microsoft.com/office/drawing/2014/chart" uri="{C3380CC4-5D6E-409C-BE32-E72D297353CC}">
              <c16:uniqueId val="{00000000-BBB8-4A39-8A18-447DCF1C02E3}"/>
            </c:ext>
          </c:extLst>
        </c:ser>
        <c:dLbls>
          <c:showLegendKey val="0"/>
          <c:showVal val="0"/>
          <c:showCatName val="0"/>
          <c:showSerName val="0"/>
          <c:showPercent val="0"/>
          <c:showBubbleSize val="0"/>
        </c:dLbls>
        <c:gapWidth val="182"/>
        <c:axId val="402001992"/>
        <c:axId val="521519488"/>
      </c:barChart>
      <c:catAx>
        <c:axId val="40200199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it-IT"/>
          </a:p>
        </c:txPr>
        <c:crossAx val="521519488"/>
        <c:crosses val="autoZero"/>
        <c:auto val="1"/>
        <c:lblAlgn val="ctr"/>
        <c:lblOffset val="100"/>
        <c:noMultiLvlLbl val="0"/>
      </c:catAx>
      <c:valAx>
        <c:axId val="521519488"/>
        <c:scaling>
          <c:orientation val="minMax"/>
        </c:scaling>
        <c:delete val="1"/>
        <c:axPos val="t"/>
        <c:numFmt formatCode="#,##0" sourceLinked="1"/>
        <c:majorTickMark val="none"/>
        <c:minorTickMark val="none"/>
        <c:tickLblPos val="nextTo"/>
        <c:crossAx val="4020019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100">
          <a:solidFill>
            <a:schemeClr val="tx1"/>
          </a:solidFill>
        </a:defRPr>
      </a:pPr>
      <a:endParaRPr lang="it-IT"/>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'impresa 4.0'!$S$171:$S$175</c:f>
              <c:strCache>
                <c:ptCount val="5"/>
                <c:pt idx="0">
                  <c:v>Nessuna difficoltà</c:v>
                </c:pt>
                <c:pt idx="1">
                  <c:v>Risorse economiche insufficienti o del tutto assenti all’interno dell’impresa</c:v>
                </c:pt>
                <c:pt idx="2">
                  <c:v>Costi delle tecnologie troppo elevati</c:v>
                </c:pt>
                <c:pt idx="3">
                  <c:v>Scarsa conoscenza / Mancanza di informazione sull’iter per investire in tecnologie digitali</c:v>
                </c:pt>
                <c:pt idx="4">
                  <c:v>Mancanza di competenze digitali interne</c:v>
                </c:pt>
              </c:strCache>
            </c:strRef>
          </c:cat>
          <c:val>
            <c:numRef>
              <c:f>'impresa 4.0'!$T$171:$T$175</c:f>
              <c:numCache>
                <c:formatCode>0</c:formatCode>
                <c:ptCount val="5"/>
                <c:pt idx="0">
                  <c:v>30.3</c:v>
                </c:pt>
                <c:pt idx="1">
                  <c:v>24.8</c:v>
                </c:pt>
                <c:pt idx="2">
                  <c:v>23</c:v>
                </c:pt>
                <c:pt idx="3">
                  <c:v>20.8</c:v>
                </c:pt>
                <c:pt idx="4">
                  <c:v>15</c:v>
                </c:pt>
              </c:numCache>
            </c:numRef>
          </c:val>
          <c:extLst>
            <c:ext xmlns:c16="http://schemas.microsoft.com/office/drawing/2014/chart" uri="{C3380CC4-5D6E-409C-BE32-E72D297353CC}">
              <c16:uniqueId val="{00000000-7EFB-4088-A827-19E6F82C00BF}"/>
            </c:ext>
          </c:extLst>
        </c:ser>
        <c:dLbls>
          <c:dLblPos val="outEnd"/>
          <c:showLegendKey val="0"/>
          <c:showVal val="1"/>
          <c:showCatName val="0"/>
          <c:showSerName val="0"/>
          <c:showPercent val="0"/>
          <c:showBubbleSize val="0"/>
        </c:dLbls>
        <c:gapWidth val="182"/>
        <c:axId val="540478648"/>
        <c:axId val="540472416"/>
      </c:barChart>
      <c:catAx>
        <c:axId val="54047864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it-IT"/>
          </a:p>
        </c:txPr>
        <c:crossAx val="540472416"/>
        <c:crosses val="autoZero"/>
        <c:auto val="1"/>
        <c:lblAlgn val="ctr"/>
        <c:lblOffset val="100"/>
        <c:noMultiLvlLbl val="0"/>
      </c:catAx>
      <c:valAx>
        <c:axId val="540472416"/>
        <c:scaling>
          <c:orientation val="minMax"/>
        </c:scaling>
        <c:delete val="1"/>
        <c:axPos val="t"/>
        <c:numFmt formatCode="0" sourceLinked="1"/>
        <c:majorTickMark val="none"/>
        <c:minorTickMark val="none"/>
        <c:tickLblPos val="nextTo"/>
        <c:crossAx val="5404786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100">
          <a:solidFill>
            <a:schemeClr val="tx1"/>
          </a:solidFill>
        </a:defRPr>
      </a:pPr>
      <a:endParaRPr lang="it-IT"/>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'impresa 4.0'!$S$213:$S$217</c:f>
              <c:strCache>
                <c:ptCount val="5"/>
                <c:pt idx="0">
                  <c:v>Semplificare le procedure amministrative rispetto a incentivi e agevolazioni</c:v>
                </c:pt>
                <c:pt idx="1">
                  <c:v>Favorire l’accesso al credito bancario per risorse destinate agli investimenti nella sostenibilità ambientale e nella digitalizzazione</c:v>
                </c:pt>
                <c:pt idx="2">
                  <c:v>Sviluppare percorsi di formazione scolastica e universitaria sulle competenze ambientali e digitali</c:v>
                </c:pt>
                <c:pt idx="3">
                  <c:v>Sensibilizzare sull’importanza di investire nella sostenibilità ambientale e nelle tecnologie digitali</c:v>
                </c:pt>
                <c:pt idx="4">
                  <c:v>Incentivare la formazione aziendale sulle competenze ambientali e digitali</c:v>
                </c:pt>
              </c:strCache>
            </c:strRef>
          </c:cat>
          <c:val>
            <c:numRef>
              <c:f>'impresa 4.0'!$T$213:$T$217</c:f>
              <c:numCache>
                <c:formatCode>#,##0</c:formatCode>
                <c:ptCount val="5"/>
                <c:pt idx="0">
                  <c:v>30.5</c:v>
                </c:pt>
                <c:pt idx="1">
                  <c:v>24.1</c:v>
                </c:pt>
                <c:pt idx="2">
                  <c:v>23.4</c:v>
                </c:pt>
                <c:pt idx="3">
                  <c:v>21.5</c:v>
                </c:pt>
                <c:pt idx="4">
                  <c:v>19.100000000000001</c:v>
                </c:pt>
              </c:numCache>
            </c:numRef>
          </c:val>
          <c:extLst>
            <c:ext xmlns:c16="http://schemas.microsoft.com/office/drawing/2014/chart" uri="{C3380CC4-5D6E-409C-BE32-E72D297353CC}">
              <c16:uniqueId val="{00000000-FD0E-481E-9CE3-86D4168C0AF5}"/>
            </c:ext>
          </c:extLst>
        </c:ser>
        <c:dLbls>
          <c:dLblPos val="outEnd"/>
          <c:showLegendKey val="0"/>
          <c:showVal val="1"/>
          <c:showCatName val="0"/>
          <c:showSerName val="0"/>
          <c:showPercent val="0"/>
          <c:showBubbleSize val="0"/>
        </c:dLbls>
        <c:gapWidth val="182"/>
        <c:axId val="540478648"/>
        <c:axId val="540472416"/>
      </c:barChart>
      <c:catAx>
        <c:axId val="54047864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it-IT"/>
          </a:p>
        </c:txPr>
        <c:crossAx val="540472416"/>
        <c:crosses val="autoZero"/>
        <c:auto val="1"/>
        <c:lblAlgn val="ctr"/>
        <c:lblOffset val="100"/>
        <c:noMultiLvlLbl val="0"/>
      </c:catAx>
      <c:valAx>
        <c:axId val="540472416"/>
        <c:scaling>
          <c:orientation val="minMax"/>
        </c:scaling>
        <c:delete val="1"/>
        <c:axPos val="t"/>
        <c:numFmt formatCode="#,##0" sourceLinked="1"/>
        <c:majorTickMark val="none"/>
        <c:minorTickMark val="none"/>
        <c:tickLblPos val="nextTo"/>
        <c:crossAx val="5404786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100">
          <a:solidFill>
            <a:schemeClr val="tx1"/>
          </a:solidFill>
        </a:defRPr>
      </a:pPr>
      <a:endParaRPr lang="it-IT"/>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2060"/>
            </a:solidFill>
            <a:ln>
              <a:noFill/>
            </a:ln>
            <a:effectLst/>
          </c:spPr>
          <c:invertIfNegative val="0"/>
          <c:dPt>
            <c:idx val="1"/>
            <c:invertIfNegative val="0"/>
            <c:bubble3D val="0"/>
            <c:spPr>
              <a:solidFill>
                <a:srgbClr val="0070C0"/>
              </a:solidFill>
              <a:ln>
                <a:noFill/>
              </a:ln>
              <a:effectLst/>
            </c:spPr>
            <c:extLst>
              <c:ext xmlns:c16="http://schemas.microsoft.com/office/drawing/2014/chart" uri="{C3380CC4-5D6E-409C-BE32-E72D297353CC}">
                <c16:uniqueId val="{00000001-45AA-4E20-8DD3-58B2EEACEE3C}"/>
              </c:ext>
            </c:extLst>
          </c:dPt>
          <c:dPt>
            <c:idx val="2"/>
            <c:invertIfNegative val="0"/>
            <c:bubble3D val="0"/>
            <c:spPr>
              <a:solidFill>
                <a:srgbClr val="00B0F0"/>
              </a:solidFill>
              <a:ln>
                <a:noFill/>
              </a:ln>
              <a:effectLst/>
            </c:spPr>
            <c:extLst>
              <c:ext xmlns:c16="http://schemas.microsoft.com/office/drawing/2014/chart" uri="{C3380CC4-5D6E-409C-BE32-E72D297353CC}">
                <c16:uniqueId val="{00000003-45AA-4E20-8DD3-58B2EEACEE3C}"/>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congiuntura!$T$7:$T$9</c:f>
              <c:strCache>
                <c:ptCount val="3"/>
                <c:pt idx="0">
                  <c:v>Imprese agricole</c:v>
                </c:pt>
                <c:pt idx="1">
                  <c:v>Imprese manifatturiere</c:v>
                </c:pt>
                <c:pt idx="2">
                  <c:v>Imprese dei servizi</c:v>
                </c:pt>
              </c:strCache>
            </c:strRef>
          </c:cat>
          <c:val>
            <c:numRef>
              <c:f>congiuntura!$U$7:$U$9</c:f>
              <c:numCache>
                <c:formatCode>0</c:formatCode>
                <c:ptCount val="3"/>
                <c:pt idx="0">
                  <c:v>20.3</c:v>
                </c:pt>
                <c:pt idx="1">
                  <c:v>54</c:v>
                </c:pt>
                <c:pt idx="2">
                  <c:v>12</c:v>
                </c:pt>
              </c:numCache>
            </c:numRef>
          </c:val>
          <c:extLst>
            <c:ext xmlns:c16="http://schemas.microsoft.com/office/drawing/2014/chart" uri="{C3380CC4-5D6E-409C-BE32-E72D297353CC}">
              <c16:uniqueId val="{00000004-45AA-4E20-8DD3-58B2EEACEE3C}"/>
            </c:ext>
          </c:extLst>
        </c:ser>
        <c:dLbls>
          <c:showLegendKey val="0"/>
          <c:showVal val="0"/>
          <c:showCatName val="0"/>
          <c:showSerName val="0"/>
          <c:showPercent val="0"/>
          <c:showBubbleSize val="0"/>
        </c:dLbls>
        <c:gapWidth val="219"/>
        <c:overlap val="-27"/>
        <c:axId val="629664576"/>
        <c:axId val="629665560"/>
      </c:barChart>
      <c:catAx>
        <c:axId val="629664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it-IT"/>
          </a:p>
        </c:txPr>
        <c:crossAx val="629665560"/>
        <c:crosses val="autoZero"/>
        <c:auto val="1"/>
        <c:lblAlgn val="ctr"/>
        <c:lblOffset val="100"/>
        <c:noMultiLvlLbl val="0"/>
      </c:catAx>
      <c:valAx>
        <c:axId val="629665560"/>
        <c:scaling>
          <c:orientation val="minMax"/>
        </c:scaling>
        <c:delete val="1"/>
        <c:axPos val="l"/>
        <c:numFmt formatCode="0" sourceLinked="1"/>
        <c:majorTickMark val="none"/>
        <c:minorTickMark val="none"/>
        <c:tickLblPos val="nextTo"/>
        <c:crossAx val="6296645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100">
          <a:solidFill>
            <a:schemeClr val="tx1"/>
          </a:solidFill>
        </a:defRPr>
      </a:pPr>
      <a:endParaRPr lang="it-IT"/>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congiuntura!$U$43</c:f>
              <c:strCache>
                <c:ptCount val="1"/>
                <c:pt idx="0">
                  <c:v>Totale</c:v>
                </c:pt>
              </c:strCache>
            </c:strRef>
          </c:tx>
          <c:spPr>
            <a:solidFill>
              <a:srgbClr val="002060"/>
            </a:solidFill>
            <a:ln w="19050">
              <a:solidFill>
                <a:schemeClr val="bg1"/>
              </a:solidFill>
            </a:ln>
          </c:spPr>
          <c:dPt>
            <c:idx val="0"/>
            <c:bubble3D val="0"/>
            <c:spPr>
              <a:solidFill>
                <a:srgbClr val="002060"/>
              </a:solidFill>
              <a:ln w="19050">
                <a:solidFill>
                  <a:schemeClr val="bg1"/>
                </a:solidFill>
              </a:ln>
              <a:effectLst/>
            </c:spPr>
            <c:extLst>
              <c:ext xmlns:c16="http://schemas.microsoft.com/office/drawing/2014/chart" uri="{C3380CC4-5D6E-409C-BE32-E72D297353CC}">
                <c16:uniqueId val="{00000001-F6BA-469B-B6F8-B95A4103814B}"/>
              </c:ext>
            </c:extLst>
          </c:dPt>
          <c:dPt>
            <c:idx val="1"/>
            <c:bubble3D val="0"/>
            <c:spPr>
              <a:solidFill>
                <a:srgbClr val="0070C0"/>
              </a:solidFill>
              <a:ln w="19050">
                <a:solidFill>
                  <a:schemeClr val="bg1"/>
                </a:solidFill>
              </a:ln>
              <a:effectLst/>
            </c:spPr>
            <c:extLst>
              <c:ext xmlns:c16="http://schemas.microsoft.com/office/drawing/2014/chart" uri="{C3380CC4-5D6E-409C-BE32-E72D297353CC}">
                <c16:uniqueId val="{00000003-F6BA-469B-B6F8-B95A4103814B}"/>
              </c:ext>
            </c:extLst>
          </c:dPt>
          <c:dPt>
            <c:idx val="2"/>
            <c:bubble3D val="0"/>
            <c:spPr>
              <a:solidFill>
                <a:srgbClr val="00B0F0"/>
              </a:solidFill>
              <a:ln w="19050">
                <a:solidFill>
                  <a:schemeClr val="bg1"/>
                </a:solidFill>
              </a:ln>
              <a:effectLst/>
            </c:spPr>
            <c:extLst>
              <c:ext xmlns:c16="http://schemas.microsoft.com/office/drawing/2014/chart" uri="{C3380CC4-5D6E-409C-BE32-E72D297353CC}">
                <c16:uniqueId val="{00000005-F6BA-469B-B6F8-B95A4103814B}"/>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it-IT"/>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congiuntura!$T$44:$T$46</c:f>
              <c:strCache>
                <c:ptCount val="3"/>
                <c:pt idx="0">
                  <c:v>Stazionari</c:v>
                </c:pt>
                <c:pt idx="1">
                  <c:v>Aumento</c:v>
                </c:pt>
                <c:pt idx="2">
                  <c:v>Diminuzione</c:v>
                </c:pt>
              </c:strCache>
            </c:strRef>
          </c:cat>
          <c:val>
            <c:numRef>
              <c:f>congiuntura!$U$44:$U$46</c:f>
              <c:numCache>
                <c:formatCode>General</c:formatCode>
                <c:ptCount val="3"/>
                <c:pt idx="0" formatCode="0">
                  <c:v>87.254901960784309</c:v>
                </c:pt>
                <c:pt idx="1">
                  <c:v>9</c:v>
                </c:pt>
                <c:pt idx="2">
                  <c:v>4</c:v>
                </c:pt>
              </c:numCache>
            </c:numRef>
          </c:val>
          <c:extLst>
            <c:ext xmlns:c16="http://schemas.microsoft.com/office/drawing/2014/chart" uri="{C3380CC4-5D6E-409C-BE32-E72D297353CC}">
              <c16:uniqueId val="{00000006-F6BA-469B-B6F8-B95A4103814B}"/>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it-IT"/>
        </a:p>
      </c:txPr>
    </c:legend>
    <c:plotVisOnly val="1"/>
    <c:dispBlanksAs val="gap"/>
    <c:showDLblsOverMax val="0"/>
  </c:chart>
  <c:spPr>
    <a:solidFill>
      <a:schemeClr val="bg1"/>
    </a:solidFill>
    <a:ln w="9525" cap="flat" cmpd="sng" algn="ctr">
      <a:noFill/>
      <a:round/>
    </a:ln>
    <a:effectLst/>
  </c:spPr>
  <c:txPr>
    <a:bodyPr/>
    <a:lstStyle/>
    <a:p>
      <a:pPr>
        <a:defRPr sz="1100">
          <a:solidFill>
            <a:schemeClr val="tx1"/>
          </a:solidFill>
        </a:defRPr>
      </a:pPr>
      <a:endParaRPr lang="it-IT"/>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congiuntura!$U$43</c:f>
              <c:strCache>
                <c:ptCount val="1"/>
                <c:pt idx="0">
                  <c:v>Totale</c:v>
                </c:pt>
              </c:strCache>
            </c:strRef>
          </c:tx>
          <c:dPt>
            <c:idx val="0"/>
            <c:bubble3D val="0"/>
            <c:spPr>
              <a:solidFill>
                <a:srgbClr val="002060"/>
              </a:solidFill>
              <a:ln w="19050">
                <a:solidFill>
                  <a:schemeClr val="bg1"/>
                </a:solidFill>
              </a:ln>
              <a:effectLst/>
            </c:spPr>
            <c:extLst>
              <c:ext xmlns:c16="http://schemas.microsoft.com/office/drawing/2014/chart" uri="{C3380CC4-5D6E-409C-BE32-E72D297353CC}">
                <c16:uniqueId val="{00000001-2357-4D7C-BC99-108D20D7C517}"/>
              </c:ext>
            </c:extLst>
          </c:dPt>
          <c:dPt>
            <c:idx val="1"/>
            <c:bubble3D val="0"/>
            <c:spPr>
              <a:solidFill>
                <a:srgbClr val="0070C0"/>
              </a:solidFill>
              <a:ln>
                <a:noFill/>
              </a:ln>
              <a:effectLst/>
            </c:spPr>
            <c:extLst>
              <c:ext xmlns:c16="http://schemas.microsoft.com/office/drawing/2014/chart" uri="{C3380CC4-5D6E-409C-BE32-E72D297353CC}">
                <c16:uniqueId val="{00000003-2357-4D7C-BC99-108D20D7C517}"/>
              </c:ext>
            </c:extLst>
          </c:dPt>
          <c:dPt>
            <c:idx val="2"/>
            <c:bubble3D val="0"/>
            <c:spPr>
              <a:solidFill>
                <a:srgbClr val="00B0F0"/>
              </a:solidFill>
              <a:ln w="19050">
                <a:solidFill>
                  <a:schemeClr val="bg1"/>
                </a:solidFill>
              </a:ln>
              <a:effectLst/>
            </c:spPr>
            <c:extLst>
              <c:ext xmlns:c16="http://schemas.microsoft.com/office/drawing/2014/chart" uri="{C3380CC4-5D6E-409C-BE32-E72D297353CC}">
                <c16:uniqueId val="{00000005-2357-4D7C-BC99-108D20D7C517}"/>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it-IT"/>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congiuntura!$T$60:$T$62</c:f>
              <c:strCache>
                <c:ptCount val="3"/>
                <c:pt idx="0">
                  <c:v>Stazionari</c:v>
                </c:pt>
                <c:pt idx="1">
                  <c:v>Aumento</c:v>
                </c:pt>
                <c:pt idx="2">
                  <c:v>Diminuzione</c:v>
                </c:pt>
              </c:strCache>
            </c:strRef>
          </c:cat>
          <c:val>
            <c:numRef>
              <c:f>congiuntura!$U$60:$U$62</c:f>
              <c:numCache>
                <c:formatCode>0</c:formatCode>
                <c:ptCount val="3"/>
                <c:pt idx="0">
                  <c:v>77.41935483870968</c:v>
                </c:pt>
                <c:pt idx="1">
                  <c:v>19</c:v>
                </c:pt>
                <c:pt idx="2">
                  <c:v>4.1474654377880187</c:v>
                </c:pt>
              </c:numCache>
            </c:numRef>
          </c:val>
          <c:extLst>
            <c:ext xmlns:c16="http://schemas.microsoft.com/office/drawing/2014/chart" uri="{C3380CC4-5D6E-409C-BE32-E72D297353CC}">
              <c16:uniqueId val="{00000006-2357-4D7C-BC99-108D20D7C517}"/>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it-IT"/>
        </a:p>
      </c:txPr>
    </c:legend>
    <c:plotVisOnly val="1"/>
    <c:dispBlanksAs val="gap"/>
    <c:showDLblsOverMax val="0"/>
  </c:chart>
  <c:spPr>
    <a:solidFill>
      <a:schemeClr val="bg1"/>
    </a:solidFill>
    <a:ln w="9525" cap="flat" cmpd="sng" algn="ctr">
      <a:noFill/>
      <a:round/>
    </a:ln>
    <a:effectLst/>
  </c:spPr>
  <c:txPr>
    <a:bodyPr/>
    <a:lstStyle/>
    <a:p>
      <a:pPr>
        <a:defRPr sz="1100">
          <a:solidFill>
            <a:schemeClr val="tx1"/>
          </a:solidFill>
        </a:defRPr>
      </a:pPr>
      <a:endParaRPr lang="it-IT"/>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congiuntura!$U$43</c:f>
              <c:strCache>
                <c:ptCount val="1"/>
                <c:pt idx="0">
                  <c:v>Totale</c:v>
                </c:pt>
              </c:strCache>
            </c:strRef>
          </c:tx>
          <c:spPr>
            <a:ln w="19050">
              <a:solidFill>
                <a:schemeClr val="bg1"/>
              </a:solidFill>
            </a:ln>
          </c:spPr>
          <c:dPt>
            <c:idx val="0"/>
            <c:bubble3D val="0"/>
            <c:spPr>
              <a:solidFill>
                <a:srgbClr val="002060"/>
              </a:solidFill>
              <a:ln w="19050">
                <a:solidFill>
                  <a:schemeClr val="bg1"/>
                </a:solidFill>
              </a:ln>
              <a:effectLst/>
            </c:spPr>
            <c:extLst>
              <c:ext xmlns:c16="http://schemas.microsoft.com/office/drawing/2014/chart" uri="{C3380CC4-5D6E-409C-BE32-E72D297353CC}">
                <c16:uniqueId val="{00000001-FB07-44CB-9F7B-918E4148D5FD}"/>
              </c:ext>
            </c:extLst>
          </c:dPt>
          <c:dPt>
            <c:idx val="1"/>
            <c:bubble3D val="0"/>
            <c:spPr>
              <a:solidFill>
                <a:srgbClr val="0070C0"/>
              </a:solidFill>
              <a:ln w="19050">
                <a:solidFill>
                  <a:schemeClr val="bg1"/>
                </a:solidFill>
              </a:ln>
              <a:effectLst/>
            </c:spPr>
            <c:extLst>
              <c:ext xmlns:c16="http://schemas.microsoft.com/office/drawing/2014/chart" uri="{C3380CC4-5D6E-409C-BE32-E72D297353CC}">
                <c16:uniqueId val="{00000003-FB07-44CB-9F7B-918E4148D5FD}"/>
              </c:ext>
            </c:extLst>
          </c:dPt>
          <c:dPt>
            <c:idx val="2"/>
            <c:bubble3D val="0"/>
            <c:spPr>
              <a:solidFill>
                <a:srgbClr val="00B0F0"/>
              </a:solidFill>
              <a:ln w="19050">
                <a:solidFill>
                  <a:schemeClr val="bg1"/>
                </a:solidFill>
              </a:ln>
              <a:effectLst/>
            </c:spPr>
            <c:extLst>
              <c:ext xmlns:c16="http://schemas.microsoft.com/office/drawing/2014/chart" uri="{C3380CC4-5D6E-409C-BE32-E72D297353CC}">
                <c16:uniqueId val="{00000005-FB07-44CB-9F7B-918E4148D5FD}"/>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it-IT"/>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congiuntura!$T$86:$T$88</c:f>
              <c:strCache>
                <c:ptCount val="3"/>
                <c:pt idx="0">
                  <c:v>Stazionari</c:v>
                </c:pt>
                <c:pt idx="1">
                  <c:v>Aumento</c:v>
                </c:pt>
                <c:pt idx="2">
                  <c:v>Diminuzione</c:v>
                </c:pt>
              </c:strCache>
            </c:strRef>
          </c:cat>
          <c:val>
            <c:numRef>
              <c:f>congiuntura!$U$86:$U$88</c:f>
              <c:numCache>
                <c:formatCode>#,##0</c:formatCode>
                <c:ptCount val="3"/>
                <c:pt idx="0">
                  <c:v>32</c:v>
                </c:pt>
                <c:pt idx="1">
                  <c:v>53.6</c:v>
                </c:pt>
                <c:pt idx="2">
                  <c:v>13.7</c:v>
                </c:pt>
              </c:numCache>
            </c:numRef>
          </c:val>
          <c:extLst>
            <c:ext xmlns:c16="http://schemas.microsoft.com/office/drawing/2014/chart" uri="{C3380CC4-5D6E-409C-BE32-E72D297353CC}">
              <c16:uniqueId val="{00000006-FB07-44CB-9F7B-918E4148D5FD}"/>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it-IT"/>
        </a:p>
      </c:txPr>
    </c:legend>
    <c:plotVisOnly val="1"/>
    <c:dispBlanksAs val="gap"/>
    <c:showDLblsOverMax val="0"/>
  </c:chart>
  <c:spPr>
    <a:solidFill>
      <a:schemeClr val="bg1"/>
    </a:solidFill>
    <a:ln w="9525" cap="flat" cmpd="sng" algn="ctr">
      <a:noFill/>
      <a:round/>
    </a:ln>
    <a:effectLst/>
  </c:spPr>
  <c:txPr>
    <a:bodyPr/>
    <a:lstStyle/>
    <a:p>
      <a:pPr>
        <a:defRPr sz="1100">
          <a:solidFill>
            <a:schemeClr val="tx1"/>
          </a:solidFill>
        </a:defRPr>
      </a:pPr>
      <a:endParaRPr lang="it-IT"/>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congiuntura!$U$43</c:f>
              <c:strCache>
                <c:ptCount val="1"/>
                <c:pt idx="0">
                  <c:v>Totale</c:v>
                </c:pt>
              </c:strCache>
            </c:strRef>
          </c:tx>
          <c:spPr>
            <a:ln w="19050">
              <a:solidFill>
                <a:schemeClr val="bg1"/>
              </a:solidFill>
            </a:ln>
          </c:spPr>
          <c:dPt>
            <c:idx val="0"/>
            <c:bubble3D val="0"/>
            <c:spPr>
              <a:solidFill>
                <a:srgbClr val="002060"/>
              </a:solidFill>
              <a:ln w="19050">
                <a:solidFill>
                  <a:schemeClr val="bg1"/>
                </a:solidFill>
              </a:ln>
              <a:effectLst/>
            </c:spPr>
            <c:extLst>
              <c:ext xmlns:c16="http://schemas.microsoft.com/office/drawing/2014/chart" uri="{C3380CC4-5D6E-409C-BE32-E72D297353CC}">
                <c16:uniqueId val="{00000001-7A73-4E8E-AE61-5D9DFA5A08BC}"/>
              </c:ext>
            </c:extLst>
          </c:dPt>
          <c:dPt>
            <c:idx val="1"/>
            <c:bubble3D val="0"/>
            <c:spPr>
              <a:solidFill>
                <a:srgbClr val="0070C0"/>
              </a:solidFill>
              <a:ln w="19050">
                <a:solidFill>
                  <a:schemeClr val="bg1"/>
                </a:solidFill>
              </a:ln>
              <a:effectLst/>
            </c:spPr>
            <c:extLst>
              <c:ext xmlns:c16="http://schemas.microsoft.com/office/drawing/2014/chart" uri="{C3380CC4-5D6E-409C-BE32-E72D297353CC}">
                <c16:uniqueId val="{00000003-7A73-4E8E-AE61-5D9DFA5A08BC}"/>
              </c:ext>
            </c:extLst>
          </c:dPt>
          <c:dPt>
            <c:idx val="2"/>
            <c:bubble3D val="0"/>
            <c:spPr>
              <a:solidFill>
                <a:srgbClr val="00B0F0"/>
              </a:solidFill>
              <a:ln w="19050">
                <a:solidFill>
                  <a:schemeClr val="bg1"/>
                </a:solidFill>
              </a:ln>
              <a:effectLst/>
            </c:spPr>
            <c:extLst>
              <c:ext xmlns:c16="http://schemas.microsoft.com/office/drawing/2014/chart" uri="{C3380CC4-5D6E-409C-BE32-E72D297353CC}">
                <c16:uniqueId val="{00000005-7A73-4E8E-AE61-5D9DFA5A08BC}"/>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it-IT"/>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congiuntura!$T$116:$T$118</c:f>
              <c:strCache>
                <c:ptCount val="3"/>
                <c:pt idx="0">
                  <c:v>Stazionari</c:v>
                </c:pt>
                <c:pt idx="1">
                  <c:v>Aumento</c:v>
                </c:pt>
                <c:pt idx="2">
                  <c:v>Diminuzione</c:v>
                </c:pt>
              </c:strCache>
            </c:strRef>
          </c:cat>
          <c:val>
            <c:numRef>
              <c:f>congiuntura!$U$116:$U$118</c:f>
              <c:numCache>
                <c:formatCode>#,##0</c:formatCode>
                <c:ptCount val="3"/>
                <c:pt idx="0">
                  <c:v>40.6</c:v>
                </c:pt>
                <c:pt idx="1">
                  <c:v>53.2</c:v>
                </c:pt>
                <c:pt idx="2">
                  <c:v>6.2</c:v>
                </c:pt>
              </c:numCache>
            </c:numRef>
          </c:val>
          <c:extLst>
            <c:ext xmlns:c16="http://schemas.microsoft.com/office/drawing/2014/chart" uri="{C3380CC4-5D6E-409C-BE32-E72D297353CC}">
              <c16:uniqueId val="{00000006-7A73-4E8E-AE61-5D9DFA5A08BC}"/>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it-IT"/>
        </a:p>
      </c:txPr>
    </c:legend>
    <c:plotVisOnly val="1"/>
    <c:dispBlanksAs val="gap"/>
    <c:showDLblsOverMax val="0"/>
  </c:chart>
  <c:spPr>
    <a:solidFill>
      <a:schemeClr val="bg1"/>
    </a:solidFill>
    <a:ln w="9525" cap="flat" cmpd="sng" algn="ctr">
      <a:noFill/>
      <a:round/>
    </a:ln>
    <a:effectLst/>
  </c:spPr>
  <c:txPr>
    <a:bodyPr/>
    <a:lstStyle/>
    <a:p>
      <a:pPr>
        <a:defRPr sz="1100">
          <a:solidFill>
            <a:schemeClr val="tx1"/>
          </a:solidFill>
        </a:defRPr>
      </a:pPr>
      <a:endParaRPr lang="it-IT"/>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congiuntura!$U$43</c:f>
              <c:strCache>
                <c:ptCount val="1"/>
                <c:pt idx="0">
                  <c:v>Totale</c:v>
                </c:pt>
              </c:strCache>
            </c:strRef>
          </c:tx>
          <c:spPr>
            <a:ln w="19050">
              <a:solidFill>
                <a:schemeClr val="bg1"/>
              </a:solidFill>
            </a:ln>
          </c:spPr>
          <c:dPt>
            <c:idx val="0"/>
            <c:bubble3D val="0"/>
            <c:spPr>
              <a:solidFill>
                <a:srgbClr val="002060"/>
              </a:solidFill>
              <a:ln w="19050">
                <a:solidFill>
                  <a:schemeClr val="bg1"/>
                </a:solidFill>
              </a:ln>
              <a:effectLst/>
            </c:spPr>
            <c:extLst>
              <c:ext xmlns:c16="http://schemas.microsoft.com/office/drawing/2014/chart" uri="{C3380CC4-5D6E-409C-BE32-E72D297353CC}">
                <c16:uniqueId val="{00000001-1940-4B59-8E86-5198E8120972}"/>
              </c:ext>
            </c:extLst>
          </c:dPt>
          <c:dPt>
            <c:idx val="1"/>
            <c:bubble3D val="0"/>
            <c:spPr>
              <a:solidFill>
                <a:srgbClr val="0070C0"/>
              </a:solidFill>
              <a:ln w="19050">
                <a:solidFill>
                  <a:schemeClr val="bg1"/>
                </a:solidFill>
              </a:ln>
              <a:effectLst/>
            </c:spPr>
            <c:extLst>
              <c:ext xmlns:c16="http://schemas.microsoft.com/office/drawing/2014/chart" uri="{C3380CC4-5D6E-409C-BE32-E72D297353CC}">
                <c16:uniqueId val="{00000003-1940-4B59-8E86-5198E8120972}"/>
              </c:ext>
            </c:extLst>
          </c:dPt>
          <c:dPt>
            <c:idx val="2"/>
            <c:bubble3D val="0"/>
            <c:spPr>
              <a:solidFill>
                <a:srgbClr val="00B0F0"/>
              </a:solidFill>
              <a:ln w="19050">
                <a:solidFill>
                  <a:schemeClr val="bg1"/>
                </a:solidFill>
              </a:ln>
              <a:effectLst/>
            </c:spPr>
            <c:extLst>
              <c:ext xmlns:c16="http://schemas.microsoft.com/office/drawing/2014/chart" uri="{C3380CC4-5D6E-409C-BE32-E72D297353CC}">
                <c16:uniqueId val="{00000005-1940-4B59-8E86-5198E8120972}"/>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it-IT"/>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congiuntura!$T$146:$T$148</c:f>
              <c:strCache>
                <c:ptCount val="3"/>
                <c:pt idx="0">
                  <c:v>Stazionari</c:v>
                </c:pt>
                <c:pt idx="1">
                  <c:v>Aumento</c:v>
                </c:pt>
                <c:pt idx="2">
                  <c:v>Diminuzione</c:v>
                </c:pt>
              </c:strCache>
            </c:strRef>
          </c:cat>
          <c:val>
            <c:numRef>
              <c:f>congiuntura!$U$146:$U$148</c:f>
              <c:numCache>
                <c:formatCode>#,##0</c:formatCode>
                <c:ptCount val="3"/>
                <c:pt idx="0">
                  <c:v>88.1</c:v>
                </c:pt>
                <c:pt idx="1">
                  <c:v>8.6999999999999993</c:v>
                </c:pt>
                <c:pt idx="2">
                  <c:v>3.2</c:v>
                </c:pt>
              </c:numCache>
            </c:numRef>
          </c:val>
          <c:extLst>
            <c:ext xmlns:c16="http://schemas.microsoft.com/office/drawing/2014/chart" uri="{C3380CC4-5D6E-409C-BE32-E72D297353CC}">
              <c16:uniqueId val="{00000006-1940-4B59-8E86-5198E8120972}"/>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it-IT"/>
        </a:p>
      </c:txPr>
    </c:legend>
    <c:plotVisOnly val="1"/>
    <c:dispBlanksAs val="gap"/>
    <c:showDLblsOverMax val="0"/>
  </c:chart>
  <c:spPr>
    <a:solidFill>
      <a:schemeClr val="bg1"/>
    </a:solidFill>
    <a:ln w="9525" cap="flat" cmpd="sng" algn="ctr">
      <a:noFill/>
      <a:round/>
    </a:ln>
    <a:effectLst/>
  </c:spPr>
  <c:txPr>
    <a:bodyPr/>
    <a:lstStyle/>
    <a:p>
      <a:pPr>
        <a:defRPr sz="1100">
          <a:solidFill>
            <a:schemeClr val="tx1"/>
          </a:solidFill>
        </a:defRPr>
      </a:pPr>
      <a:endParaRPr lang="it-IT"/>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congiuntura!$U$43</c:f>
              <c:strCache>
                <c:ptCount val="1"/>
                <c:pt idx="0">
                  <c:v>Totale</c:v>
                </c:pt>
              </c:strCache>
            </c:strRef>
          </c:tx>
          <c:spPr>
            <a:ln w="19050">
              <a:solidFill>
                <a:schemeClr val="bg1"/>
              </a:solidFill>
            </a:ln>
          </c:spPr>
          <c:dPt>
            <c:idx val="0"/>
            <c:bubble3D val="0"/>
            <c:spPr>
              <a:solidFill>
                <a:srgbClr val="002060"/>
              </a:solidFill>
              <a:ln w="19050">
                <a:solidFill>
                  <a:schemeClr val="bg1"/>
                </a:solidFill>
              </a:ln>
              <a:effectLst/>
            </c:spPr>
            <c:extLst>
              <c:ext xmlns:c16="http://schemas.microsoft.com/office/drawing/2014/chart" uri="{C3380CC4-5D6E-409C-BE32-E72D297353CC}">
                <c16:uniqueId val="{00000001-F050-474C-BC2F-ED5C2E053021}"/>
              </c:ext>
            </c:extLst>
          </c:dPt>
          <c:dPt>
            <c:idx val="1"/>
            <c:bubble3D val="0"/>
            <c:spPr>
              <a:solidFill>
                <a:srgbClr val="0070C0"/>
              </a:solidFill>
              <a:ln w="19050">
                <a:solidFill>
                  <a:schemeClr val="bg1"/>
                </a:solidFill>
              </a:ln>
              <a:effectLst/>
            </c:spPr>
            <c:extLst>
              <c:ext xmlns:c16="http://schemas.microsoft.com/office/drawing/2014/chart" uri="{C3380CC4-5D6E-409C-BE32-E72D297353CC}">
                <c16:uniqueId val="{00000003-F050-474C-BC2F-ED5C2E053021}"/>
              </c:ext>
            </c:extLst>
          </c:dPt>
          <c:dPt>
            <c:idx val="2"/>
            <c:bubble3D val="0"/>
            <c:spPr>
              <a:solidFill>
                <a:srgbClr val="00B0F0"/>
              </a:solidFill>
              <a:ln w="19050">
                <a:solidFill>
                  <a:schemeClr val="bg1"/>
                </a:solidFill>
              </a:ln>
              <a:effectLst/>
            </c:spPr>
            <c:extLst>
              <c:ext xmlns:c16="http://schemas.microsoft.com/office/drawing/2014/chart" uri="{C3380CC4-5D6E-409C-BE32-E72D297353CC}">
                <c16:uniqueId val="{00000005-F050-474C-BC2F-ED5C2E053021}"/>
              </c:ext>
            </c:extLst>
          </c:dPt>
          <c:dLbls>
            <c:dLbl>
              <c:idx val="2"/>
              <c:layout>
                <c:manualLayout>
                  <c:x val="2.9716037223818915E-3"/>
                  <c:y val="5.7101118939079987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050-474C-BC2F-ED5C2E053021}"/>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it-IT"/>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congiuntura!$T$176:$T$178</c:f>
              <c:strCache>
                <c:ptCount val="3"/>
                <c:pt idx="0">
                  <c:v>Stazionari</c:v>
                </c:pt>
                <c:pt idx="1">
                  <c:v>Aumento</c:v>
                </c:pt>
                <c:pt idx="2">
                  <c:v>Diminuzione</c:v>
                </c:pt>
              </c:strCache>
            </c:strRef>
          </c:cat>
          <c:val>
            <c:numRef>
              <c:f>congiuntura!$U$176:$U$178</c:f>
              <c:numCache>
                <c:formatCode>#,##0</c:formatCode>
                <c:ptCount val="3"/>
                <c:pt idx="0">
                  <c:v>84</c:v>
                </c:pt>
                <c:pt idx="1">
                  <c:v>13.6</c:v>
                </c:pt>
                <c:pt idx="2">
                  <c:v>1.6</c:v>
                </c:pt>
              </c:numCache>
            </c:numRef>
          </c:val>
          <c:extLst>
            <c:ext xmlns:c16="http://schemas.microsoft.com/office/drawing/2014/chart" uri="{C3380CC4-5D6E-409C-BE32-E72D297353CC}">
              <c16:uniqueId val="{00000006-F050-474C-BC2F-ED5C2E053021}"/>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it-IT"/>
        </a:p>
      </c:txPr>
    </c:legend>
    <c:plotVisOnly val="1"/>
    <c:dispBlanksAs val="gap"/>
    <c:showDLblsOverMax val="0"/>
  </c:chart>
  <c:spPr>
    <a:solidFill>
      <a:schemeClr val="bg1"/>
    </a:solidFill>
    <a:ln w="12700" cap="flat" cmpd="sng" algn="ctr">
      <a:noFill/>
      <a:round/>
    </a:ln>
    <a:effectLst/>
  </c:spPr>
  <c:txPr>
    <a:bodyPr/>
    <a:lstStyle/>
    <a:p>
      <a:pPr>
        <a:defRPr sz="1100">
          <a:solidFill>
            <a:schemeClr val="tx1"/>
          </a:solidFill>
        </a:defRPr>
      </a:pPr>
      <a:endParaRPr lang="it-I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2060"/>
            </a:solidFill>
            <a:ln>
              <a:noFill/>
            </a:ln>
            <a:effectLst/>
          </c:spPr>
          <c:invertIfNegative val="0"/>
          <c:dPt>
            <c:idx val="1"/>
            <c:invertIfNegative val="0"/>
            <c:bubble3D val="0"/>
            <c:spPr>
              <a:solidFill>
                <a:srgbClr val="0070C0"/>
              </a:solidFill>
              <a:ln>
                <a:noFill/>
              </a:ln>
              <a:effectLst/>
            </c:spPr>
            <c:extLst>
              <c:ext xmlns:c16="http://schemas.microsoft.com/office/drawing/2014/chart" uri="{C3380CC4-5D6E-409C-BE32-E72D297353CC}">
                <c16:uniqueId val="{00000001-FCEC-4D7A-8C47-D461E8D8E003}"/>
              </c:ext>
            </c:extLst>
          </c:dPt>
          <c:dPt>
            <c:idx val="2"/>
            <c:invertIfNegative val="0"/>
            <c:bubble3D val="0"/>
            <c:spPr>
              <a:solidFill>
                <a:srgbClr val="00B0F0"/>
              </a:solidFill>
              <a:ln>
                <a:noFill/>
              </a:ln>
              <a:effectLst/>
            </c:spPr>
            <c:extLst>
              <c:ext xmlns:c16="http://schemas.microsoft.com/office/drawing/2014/chart" uri="{C3380CC4-5D6E-409C-BE32-E72D297353CC}">
                <c16:uniqueId val="{00000003-FCEC-4D7A-8C47-D461E8D8E003}"/>
              </c:ext>
            </c:extLst>
          </c:dPt>
          <c:dPt>
            <c:idx val="3"/>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5-FCEC-4D7A-8C47-D461E8D8E003}"/>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Foglio1!$S$39:$S$42</c:f>
              <c:strCache>
                <c:ptCount val="4"/>
                <c:pt idx="0">
                  <c:v>Si</c:v>
                </c:pt>
                <c:pt idx="1">
                  <c:v>No, perché il passaggio generazionale è già stato effettuato</c:v>
                </c:pt>
                <c:pt idx="2">
                  <c:v>No, il passaggio generazionale non è previsto</c:v>
                </c:pt>
                <c:pt idx="3">
                  <c:v>No, nessun problema ad effettuare il passaggio generazionale</c:v>
                </c:pt>
              </c:strCache>
            </c:strRef>
          </c:cat>
          <c:val>
            <c:numRef>
              <c:f>Foglio1!$T$39:$T$42</c:f>
              <c:numCache>
                <c:formatCode>0</c:formatCode>
                <c:ptCount val="4"/>
                <c:pt idx="0">
                  <c:v>13.3</c:v>
                </c:pt>
                <c:pt idx="1">
                  <c:v>20.2</c:v>
                </c:pt>
                <c:pt idx="2">
                  <c:v>7.7</c:v>
                </c:pt>
                <c:pt idx="3">
                  <c:v>58.9</c:v>
                </c:pt>
              </c:numCache>
            </c:numRef>
          </c:val>
          <c:extLst>
            <c:ext xmlns:c16="http://schemas.microsoft.com/office/drawing/2014/chart" uri="{C3380CC4-5D6E-409C-BE32-E72D297353CC}">
              <c16:uniqueId val="{00000006-FCEC-4D7A-8C47-D461E8D8E003}"/>
            </c:ext>
          </c:extLst>
        </c:ser>
        <c:dLbls>
          <c:showLegendKey val="0"/>
          <c:showVal val="0"/>
          <c:showCatName val="0"/>
          <c:showSerName val="0"/>
          <c:showPercent val="0"/>
          <c:showBubbleSize val="0"/>
        </c:dLbls>
        <c:gapWidth val="219"/>
        <c:overlap val="-27"/>
        <c:axId val="90258232"/>
        <c:axId val="90257248"/>
      </c:barChart>
      <c:catAx>
        <c:axId val="90258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it-IT"/>
          </a:p>
        </c:txPr>
        <c:crossAx val="90257248"/>
        <c:crosses val="autoZero"/>
        <c:auto val="1"/>
        <c:lblAlgn val="ctr"/>
        <c:lblOffset val="100"/>
        <c:noMultiLvlLbl val="0"/>
      </c:catAx>
      <c:valAx>
        <c:axId val="90257248"/>
        <c:scaling>
          <c:orientation val="minMax"/>
        </c:scaling>
        <c:delete val="1"/>
        <c:axPos val="l"/>
        <c:numFmt formatCode="0" sourceLinked="1"/>
        <c:majorTickMark val="none"/>
        <c:minorTickMark val="none"/>
        <c:tickLblPos val="nextTo"/>
        <c:crossAx val="902582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chemeClr val="tx1"/>
          </a:solidFill>
        </a:defRPr>
      </a:pPr>
      <a:endParaRPr lang="it-IT"/>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00B0F0"/>
              </a:solidFill>
              <a:ln w="19050">
                <a:solidFill>
                  <a:schemeClr val="lt1"/>
                </a:solidFill>
              </a:ln>
              <a:effectLst/>
            </c:spPr>
            <c:extLst>
              <c:ext xmlns:c16="http://schemas.microsoft.com/office/drawing/2014/chart" uri="{C3380CC4-5D6E-409C-BE32-E72D297353CC}">
                <c16:uniqueId val="{00000001-1CD5-4721-9A66-6E0DCBBAB0BF}"/>
              </c:ext>
            </c:extLst>
          </c:dPt>
          <c:dPt>
            <c:idx val="1"/>
            <c:bubble3D val="0"/>
            <c:spPr>
              <a:solidFill>
                <a:srgbClr val="002060"/>
              </a:solidFill>
              <a:ln w="19050">
                <a:solidFill>
                  <a:schemeClr val="lt1"/>
                </a:solidFill>
              </a:ln>
              <a:effectLst/>
            </c:spPr>
            <c:extLst>
              <c:ext xmlns:c16="http://schemas.microsoft.com/office/drawing/2014/chart" uri="{C3380CC4-5D6E-409C-BE32-E72D297353CC}">
                <c16:uniqueId val="{00000003-1CD5-4721-9A66-6E0DCBBAB0BF}"/>
              </c:ext>
            </c:extLst>
          </c:dPt>
          <c:dPt>
            <c:idx val="2"/>
            <c:bubble3D val="0"/>
            <c:spPr>
              <a:solidFill>
                <a:srgbClr val="0070C0"/>
              </a:solidFill>
              <a:ln w="19050">
                <a:solidFill>
                  <a:schemeClr val="lt1"/>
                </a:solidFill>
              </a:ln>
              <a:effectLst/>
            </c:spPr>
            <c:extLst>
              <c:ext xmlns:c16="http://schemas.microsoft.com/office/drawing/2014/chart" uri="{C3380CC4-5D6E-409C-BE32-E72D297353CC}">
                <c16:uniqueId val="{00000005-1CD5-4721-9A66-6E0DCBBAB0BF}"/>
              </c:ext>
            </c:extLst>
          </c:dPt>
          <c:dLbls>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it-IT"/>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'riporesa post covid'!$T$6:$T$8</c:f>
              <c:strCache>
                <c:ptCount val="3"/>
                <c:pt idx="0">
                  <c:v>Superiori ai livelli pre-pandemia</c:v>
                </c:pt>
                <c:pt idx="1">
                  <c:v>In linea con i livelli pre-pandemia</c:v>
                </c:pt>
                <c:pt idx="2">
                  <c:v>Inferiori ai livelli pre-pandemia</c:v>
                </c:pt>
              </c:strCache>
            </c:strRef>
          </c:cat>
          <c:val>
            <c:numRef>
              <c:f>'riporesa post covid'!$U$6:$U$8</c:f>
              <c:numCache>
                <c:formatCode>#,##0</c:formatCode>
                <c:ptCount val="3"/>
                <c:pt idx="0">
                  <c:v>6.4</c:v>
                </c:pt>
                <c:pt idx="1">
                  <c:v>82.5</c:v>
                </c:pt>
                <c:pt idx="2">
                  <c:v>11.1</c:v>
                </c:pt>
              </c:numCache>
            </c:numRef>
          </c:val>
          <c:extLst>
            <c:ext xmlns:c16="http://schemas.microsoft.com/office/drawing/2014/chart" uri="{C3380CC4-5D6E-409C-BE32-E72D297353CC}">
              <c16:uniqueId val="{00000006-1CD5-4721-9A66-6E0DCBBAB0BF}"/>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solidFill>
            <a:schemeClr val="tx1"/>
          </a:solidFill>
        </a:defRPr>
      </a:pPr>
      <a:endParaRPr lang="it-IT"/>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rgbClr val="002060"/>
            </a:solidFill>
          </c:spPr>
          <c:dPt>
            <c:idx val="0"/>
            <c:bubble3D val="0"/>
            <c:spPr>
              <a:solidFill>
                <a:srgbClr val="00B0F0"/>
              </a:solidFill>
              <a:ln w="19050">
                <a:solidFill>
                  <a:schemeClr val="lt1"/>
                </a:solidFill>
              </a:ln>
              <a:effectLst/>
            </c:spPr>
            <c:extLst>
              <c:ext xmlns:c16="http://schemas.microsoft.com/office/drawing/2014/chart" uri="{C3380CC4-5D6E-409C-BE32-E72D297353CC}">
                <c16:uniqueId val="{00000001-A29D-4C54-B8D3-B34B7483CDD6}"/>
              </c:ext>
            </c:extLst>
          </c:dPt>
          <c:dPt>
            <c:idx val="1"/>
            <c:bubble3D val="0"/>
            <c:spPr>
              <a:solidFill>
                <a:srgbClr val="002060"/>
              </a:solidFill>
              <a:ln w="19050">
                <a:solidFill>
                  <a:schemeClr val="lt1"/>
                </a:solidFill>
              </a:ln>
              <a:effectLst/>
            </c:spPr>
            <c:extLst>
              <c:ext xmlns:c16="http://schemas.microsoft.com/office/drawing/2014/chart" uri="{C3380CC4-5D6E-409C-BE32-E72D297353CC}">
                <c16:uniqueId val="{00000003-A29D-4C54-B8D3-B34B7483CDD6}"/>
              </c:ext>
            </c:extLst>
          </c:dPt>
          <c:dPt>
            <c:idx val="2"/>
            <c:bubble3D val="0"/>
            <c:spPr>
              <a:solidFill>
                <a:srgbClr val="0070C0"/>
              </a:solidFill>
              <a:ln w="19050">
                <a:solidFill>
                  <a:schemeClr val="lt1"/>
                </a:solidFill>
              </a:ln>
              <a:effectLst/>
            </c:spPr>
            <c:extLst>
              <c:ext xmlns:c16="http://schemas.microsoft.com/office/drawing/2014/chart" uri="{C3380CC4-5D6E-409C-BE32-E72D297353CC}">
                <c16:uniqueId val="{00000005-A29D-4C54-B8D3-B34B7483CDD6}"/>
              </c:ext>
            </c:extLst>
          </c:dPt>
          <c:dLbls>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it-IT"/>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'riporesa post covid'!$T$19:$T$21</c:f>
              <c:strCache>
                <c:ptCount val="3"/>
                <c:pt idx="0">
                  <c:v>Superiori ai livelli pre-pandemia</c:v>
                </c:pt>
                <c:pt idx="1">
                  <c:v>In linea con i livelli pre-pandemia</c:v>
                </c:pt>
                <c:pt idx="2">
                  <c:v>Inferiori ai livelli pre-pandemia</c:v>
                </c:pt>
              </c:strCache>
            </c:strRef>
          </c:cat>
          <c:val>
            <c:numRef>
              <c:f>'riporesa post covid'!$U$19:$U$21</c:f>
              <c:numCache>
                <c:formatCode>0</c:formatCode>
                <c:ptCount val="3"/>
                <c:pt idx="0">
                  <c:v>21</c:v>
                </c:pt>
                <c:pt idx="1">
                  <c:v>74.2</c:v>
                </c:pt>
                <c:pt idx="2">
                  <c:v>4.8</c:v>
                </c:pt>
              </c:numCache>
            </c:numRef>
          </c:val>
          <c:extLst>
            <c:ext xmlns:c16="http://schemas.microsoft.com/office/drawing/2014/chart" uri="{C3380CC4-5D6E-409C-BE32-E72D297353CC}">
              <c16:uniqueId val="{00000006-A29D-4C54-B8D3-B34B7483CDD6}"/>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solidFill>
            <a:schemeClr val="tx1"/>
          </a:solidFill>
        </a:defRPr>
      </a:pPr>
      <a:endParaRPr lang="it-IT"/>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002060"/>
              </a:solidFill>
              <a:ln w="19050">
                <a:solidFill>
                  <a:schemeClr val="lt1"/>
                </a:solidFill>
              </a:ln>
              <a:effectLst/>
            </c:spPr>
            <c:extLst>
              <c:ext xmlns:c16="http://schemas.microsoft.com/office/drawing/2014/chart" uri="{C3380CC4-5D6E-409C-BE32-E72D297353CC}">
                <c16:uniqueId val="{00000001-D680-4A48-BC44-09C11F170FCC}"/>
              </c:ext>
            </c:extLst>
          </c:dPt>
          <c:dPt>
            <c:idx val="1"/>
            <c:bubble3D val="0"/>
            <c:spPr>
              <a:solidFill>
                <a:srgbClr val="0070C0"/>
              </a:solidFill>
              <a:ln w="19050">
                <a:solidFill>
                  <a:schemeClr val="lt1"/>
                </a:solidFill>
              </a:ln>
              <a:effectLst/>
            </c:spPr>
            <c:extLst>
              <c:ext xmlns:c16="http://schemas.microsoft.com/office/drawing/2014/chart" uri="{C3380CC4-5D6E-409C-BE32-E72D297353CC}">
                <c16:uniqueId val="{00000003-D680-4A48-BC44-09C11F170FCC}"/>
              </c:ext>
            </c:extLst>
          </c:dPt>
          <c:dPt>
            <c:idx val="2"/>
            <c:bubble3D val="0"/>
            <c:spPr>
              <a:solidFill>
                <a:srgbClr val="00B0F0"/>
              </a:solidFill>
              <a:ln w="19050">
                <a:solidFill>
                  <a:schemeClr val="lt1"/>
                </a:solidFill>
              </a:ln>
              <a:effectLst/>
            </c:spPr>
            <c:extLst>
              <c:ext xmlns:c16="http://schemas.microsoft.com/office/drawing/2014/chart" uri="{C3380CC4-5D6E-409C-BE32-E72D297353CC}">
                <c16:uniqueId val="{00000005-D680-4A48-BC44-09C11F170FCC}"/>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it-IT"/>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'riporesa post covid'!$A$68:$A$70</c:f>
              <c:strCache>
                <c:ptCount val="3"/>
                <c:pt idx="0">
                  <c:v>Già attivata </c:v>
                </c:pt>
                <c:pt idx="1">
                  <c:v>In programma di attivarsi</c:v>
                </c:pt>
                <c:pt idx="2">
                  <c:v>Non attivata</c:v>
                </c:pt>
              </c:strCache>
            </c:strRef>
          </c:cat>
          <c:val>
            <c:numRef>
              <c:f>'riporesa post covid'!$B$68:$B$70</c:f>
              <c:numCache>
                <c:formatCode>0</c:formatCode>
                <c:ptCount val="3"/>
                <c:pt idx="0">
                  <c:v>16</c:v>
                </c:pt>
                <c:pt idx="1">
                  <c:v>15</c:v>
                </c:pt>
                <c:pt idx="2">
                  <c:v>69</c:v>
                </c:pt>
              </c:numCache>
            </c:numRef>
          </c:val>
          <c:extLst>
            <c:ext xmlns:c16="http://schemas.microsoft.com/office/drawing/2014/chart" uri="{C3380CC4-5D6E-409C-BE32-E72D297353CC}">
              <c16:uniqueId val="{00000006-D680-4A48-BC44-09C11F170FCC}"/>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it-IT"/>
        </a:p>
      </c:txPr>
    </c:legend>
    <c:plotVisOnly val="1"/>
    <c:dispBlanksAs val="gap"/>
    <c:showDLblsOverMax val="0"/>
  </c:chart>
  <c:spPr>
    <a:solidFill>
      <a:schemeClr val="bg1"/>
    </a:solidFill>
    <a:ln w="9525" cap="flat" cmpd="sng" algn="ctr">
      <a:noFill/>
      <a:round/>
    </a:ln>
    <a:effectLst/>
  </c:spPr>
  <c:txPr>
    <a:bodyPr/>
    <a:lstStyle/>
    <a:p>
      <a:pPr>
        <a:defRPr sz="1100">
          <a:solidFill>
            <a:schemeClr val="tx1"/>
          </a:solidFill>
        </a:defRPr>
      </a:pPr>
      <a:endParaRPr lang="it-IT"/>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658046221811152"/>
          <c:y val="5.0558336402981428E-2"/>
          <c:w val="0.35737987156551337"/>
          <c:h val="0.72370834082261748"/>
        </c:manualLayout>
      </c:layout>
      <c:pieChart>
        <c:varyColors val="1"/>
        <c:ser>
          <c:idx val="0"/>
          <c:order val="0"/>
          <c:dPt>
            <c:idx val="0"/>
            <c:bubble3D val="0"/>
            <c:spPr>
              <a:solidFill>
                <a:srgbClr val="002060"/>
              </a:solidFill>
              <a:ln w="19050">
                <a:solidFill>
                  <a:schemeClr val="lt1"/>
                </a:solidFill>
              </a:ln>
              <a:effectLst/>
            </c:spPr>
            <c:extLst>
              <c:ext xmlns:c16="http://schemas.microsoft.com/office/drawing/2014/chart" uri="{C3380CC4-5D6E-409C-BE32-E72D297353CC}">
                <c16:uniqueId val="{00000001-69DD-4532-96C5-0FFF9E568435}"/>
              </c:ext>
            </c:extLst>
          </c:dPt>
          <c:dPt>
            <c:idx val="1"/>
            <c:bubble3D val="0"/>
            <c:spPr>
              <a:solidFill>
                <a:srgbClr val="0070C0"/>
              </a:solidFill>
              <a:ln w="19050">
                <a:solidFill>
                  <a:schemeClr val="lt1"/>
                </a:solidFill>
              </a:ln>
              <a:effectLst/>
            </c:spPr>
            <c:extLst>
              <c:ext xmlns:c16="http://schemas.microsoft.com/office/drawing/2014/chart" uri="{C3380CC4-5D6E-409C-BE32-E72D297353CC}">
                <c16:uniqueId val="{00000003-69DD-4532-96C5-0FFF9E568435}"/>
              </c:ext>
            </c:extLst>
          </c:dPt>
          <c:dPt>
            <c:idx val="2"/>
            <c:bubble3D val="0"/>
            <c:spPr>
              <a:solidFill>
                <a:srgbClr val="00B0F0"/>
              </a:solidFill>
              <a:ln w="19050">
                <a:solidFill>
                  <a:schemeClr val="lt1"/>
                </a:solidFill>
              </a:ln>
              <a:effectLst/>
            </c:spPr>
            <c:extLst>
              <c:ext xmlns:c16="http://schemas.microsoft.com/office/drawing/2014/chart" uri="{C3380CC4-5D6E-409C-BE32-E72D297353CC}">
                <c16:uniqueId val="{00000005-69DD-4532-96C5-0FFF9E568435}"/>
              </c:ext>
            </c:extLst>
          </c:dPt>
          <c:dPt>
            <c:idx val="3"/>
            <c:bubble3D val="0"/>
            <c:spPr>
              <a:solidFill>
                <a:schemeClr val="accent1">
                  <a:lumMod val="40000"/>
                  <a:lumOff val="60000"/>
                </a:schemeClr>
              </a:solidFill>
              <a:ln w="19050">
                <a:solidFill>
                  <a:schemeClr val="lt1"/>
                </a:solidFill>
              </a:ln>
              <a:effectLst/>
            </c:spPr>
            <c:extLst>
              <c:ext xmlns:c16="http://schemas.microsoft.com/office/drawing/2014/chart" uri="{C3380CC4-5D6E-409C-BE32-E72D297353CC}">
                <c16:uniqueId val="{00000007-69DD-4532-96C5-0FFF9E568435}"/>
              </c:ext>
            </c:extLst>
          </c:dPt>
          <c:dLbls>
            <c:dLbl>
              <c:idx val="3"/>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mn-lt"/>
                      <a:ea typeface="+mn-ea"/>
                      <a:cs typeface="+mn-cs"/>
                    </a:defRPr>
                  </a:pPr>
                  <a:endParaRPr lang="it-IT"/>
                </a:p>
              </c:txPr>
              <c:dLblPos val="ctr"/>
              <c:showLegendKey val="0"/>
              <c:showVal val="1"/>
              <c:showCatName val="0"/>
              <c:showSerName val="0"/>
              <c:showPercent val="0"/>
              <c:showBubbleSize val="0"/>
              <c:extLst>
                <c:ext xmlns:c16="http://schemas.microsoft.com/office/drawing/2014/chart" uri="{C3380CC4-5D6E-409C-BE32-E72D297353CC}">
                  <c16:uniqueId val="{00000007-69DD-4532-96C5-0FFF9E568435}"/>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it-IT"/>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'costi della PA'!$S$6:$S$9</c:f>
              <c:strCache>
                <c:ptCount val="4"/>
                <c:pt idx="0">
                  <c:v>Solo personale interno</c:v>
                </c:pt>
                <c:pt idx="1">
                  <c:v>Solo consulenti esterni</c:v>
                </c:pt>
                <c:pt idx="2">
                  <c:v>Associazioni di categoria </c:v>
                </c:pt>
                <c:pt idx="3">
                  <c:v>Sia personale interno che consulenti esterni</c:v>
                </c:pt>
              </c:strCache>
            </c:strRef>
          </c:cat>
          <c:val>
            <c:numRef>
              <c:f>'costi della PA'!$T$6:$T$9</c:f>
              <c:numCache>
                <c:formatCode>#,##0</c:formatCode>
                <c:ptCount val="4"/>
                <c:pt idx="0">
                  <c:v>15.1</c:v>
                </c:pt>
                <c:pt idx="1">
                  <c:v>59.3</c:v>
                </c:pt>
                <c:pt idx="2">
                  <c:v>17</c:v>
                </c:pt>
                <c:pt idx="3">
                  <c:v>8.6</c:v>
                </c:pt>
              </c:numCache>
            </c:numRef>
          </c:val>
          <c:extLst>
            <c:ext xmlns:c16="http://schemas.microsoft.com/office/drawing/2014/chart" uri="{C3380CC4-5D6E-409C-BE32-E72D297353CC}">
              <c16:uniqueId val="{00000008-69DD-4532-96C5-0FFF9E568435}"/>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4.4803814080202009E-2"/>
          <c:y val="0.83269130862959406"/>
          <c:w val="0.93359912289444835"/>
          <c:h val="0.1422695636258365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it-IT"/>
        </a:p>
      </c:txPr>
    </c:legend>
    <c:plotVisOnly val="1"/>
    <c:dispBlanksAs val="gap"/>
    <c:showDLblsOverMax val="0"/>
  </c:chart>
  <c:spPr>
    <a:solidFill>
      <a:schemeClr val="bg1"/>
    </a:solidFill>
    <a:ln w="9525" cap="flat" cmpd="sng" algn="ctr">
      <a:noFill/>
      <a:round/>
    </a:ln>
    <a:effectLst/>
  </c:spPr>
  <c:txPr>
    <a:bodyPr/>
    <a:lstStyle/>
    <a:p>
      <a:pPr>
        <a:defRPr sz="1100">
          <a:solidFill>
            <a:schemeClr val="tx1"/>
          </a:solidFill>
        </a:defRPr>
      </a:pPr>
      <a:endParaRPr lang="it-IT"/>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658046221811152"/>
          <c:y val="5.0558336402981428E-2"/>
          <c:w val="0.35737987156551337"/>
          <c:h val="0.72370834082261748"/>
        </c:manualLayout>
      </c:layout>
      <c:pieChart>
        <c:varyColors val="1"/>
        <c:ser>
          <c:idx val="0"/>
          <c:order val="0"/>
          <c:dPt>
            <c:idx val="0"/>
            <c:bubble3D val="0"/>
            <c:spPr>
              <a:solidFill>
                <a:srgbClr val="002060"/>
              </a:solidFill>
              <a:ln w="19050">
                <a:solidFill>
                  <a:schemeClr val="lt1"/>
                </a:solidFill>
              </a:ln>
              <a:effectLst/>
            </c:spPr>
            <c:extLst>
              <c:ext xmlns:c16="http://schemas.microsoft.com/office/drawing/2014/chart" uri="{C3380CC4-5D6E-409C-BE32-E72D297353CC}">
                <c16:uniqueId val="{00000001-5E70-44DB-A91D-E98EA73B7D7B}"/>
              </c:ext>
            </c:extLst>
          </c:dPt>
          <c:dPt>
            <c:idx val="1"/>
            <c:bubble3D val="0"/>
            <c:spPr>
              <a:solidFill>
                <a:srgbClr val="0070C0"/>
              </a:solidFill>
              <a:ln w="19050">
                <a:solidFill>
                  <a:schemeClr val="lt1"/>
                </a:solidFill>
              </a:ln>
              <a:effectLst/>
            </c:spPr>
            <c:extLst>
              <c:ext xmlns:c16="http://schemas.microsoft.com/office/drawing/2014/chart" uri="{C3380CC4-5D6E-409C-BE32-E72D297353CC}">
                <c16:uniqueId val="{00000003-5E70-44DB-A91D-E98EA73B7D7B}"/>
              </c:ext>
            </c:extLst>
          </c:dPt>
          <c:dPt>
            <c:idx val="2"/>
            <c:bubble3D val="0"/>
            <c:spPr>
              <a:solidFill>
                <a:srgbClr val="00B0F0"/>
              </a:solidFill>
              <a:ln w="19050">
                <a:solidFill>
                  <a:schemeClr val="lt1"/>
                </a:solidFill>
              </a:ln>
              <a:effectLst/>
            </c:spPr>
            <c:extLst>
              <c:ext xmlns:c16="http://schemas.microsoft.com/office/drawing/2014/chart" uri="{C3380CC4-5D6E-409C-BE32-E72D297353CC}">
                <c16:uniqueId val="{00000005-5E70-44DB-A91D-E98EA73B7D7B}"/>
              </c:ext>
            </c:extLst>
          </c:dPt>
          <c:dPt>
            <c:idx val="3"/>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7-5E70-44DB-A91D-E98EA73B7D7B}"/>
              </c:ext>
            </c:extLst>
          </c:dPt>
          <c:dLbls>
            <c:dLbl>
              <c:idx val="3"/>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mn-lt"/>
                      <a:ea typeface="+mn-ea"/>
                      <a:cs typeface="+mn-cs"/>
                    </a:defRPr>
                  </a:pPr>
                  <a:endParaRPr lang="it-IT"/>
                </a:p>
              </c:txPr>
              <c:dLblPos val="ctr"/>
              <c:showLegendKey val="0"/>
              <c:showVal val="1"/>
              <c:showCatName val="0"/>
              <c:showSerName val="0"/>
              <c:showPercent val="0"/>
              <c:showBubbleSize val="0"/>
              <c:extLst>
                <c:ext xmlns:c16="http://schemas.microsoft.com/office/drawing/2014/chart" uri="{C3380CC4-5D6E-409C-BE32-E72D297353CC}">
                  <c16:uniqueId val="{00000007-5E70-44DB-A91D-E98EA73B7D7B}"/>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it-IT"/>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'costi della PA'!$S$21:$S$24</c:f>
              <c:strCache>
                <c:ptCount val="4"/>
                <c:pt idx="0">
                  <c:v>Fino a 2.500 euro</c:v>
                </c:pt>
                <c:pt idx="1">
                  <c:v>Da 2.500 a 5.000 euro</c:v>
                </c:pt>
                <c:pt idx="2">
                  <c:v>Da 5.000 a 10.000 euro</c:v>
                </c:pt>
                <c:pt idx="3">
                  <c:v>Oltre 10.000 euro</c:v>
                </c:pt>
              </c:strCache>
            </c:strRef>
          </c:cat>
          <c:val>
            <c:numRef>
              <c:f>'costi della PA'!$T$21:$T$24</c:f>
              <c:numCache>
                <c:formatCode>#,##0</c:formatCode>
                <c:ptCount val="4"/>
                <c:pt idx="0">
                  <c:v>3.7</c:v>
                </c:pt>
                <c:pt idx="1">
                  <c:v>61.9</c:v>
                </c:pt>
                <c:pt idx="2">
                  <c:v>29.3</c:v>
                </c:pt>
                <c:pt idx="3">
                  <c:v>5</c:v>
                </c:pt>
              </c:numCache>
            </c:numRef>
          </c:val>
          <c:extLst>
            <c:ext xmlns:c16="http://schemas.microsoft.com/office/drawing/2014/chart" uri="{C3380CC4-5D6E-409C-BE32-E72D297353CC}">
              <c16:uniqueId val="{00000008-5E70-44DB-A91D-E98EA73B7D7B}"/>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4.4803814080202009E-2"/>
          <c:y val="0.83269130862959406"/>
          <c:w val="0.93359912289444835"/>
          <c:h val="0.1422695636258365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it-IT"/>
        </a:p>
      </c:txPr>
    </c:legend>
    <c:plotVisOnly val="1"/>
    <c:dispBlanksAs val="gap"/>
    <c:showDLblsOverMax val="0"/>
  </c:chart>
  <c:spPr>
    <a:solidFill>
      <a:schemeClr val="bg1"/>
    </a:solidFill>
    <a:ln w="9525" cap="flat" cmpd="sng" algn="ctr">
      <a:noFill/>
      <a:round/>
    </a:ln>
    <a:effectLst/>
  </c:spPr>
  <c:txPr>
    <a:bodyPr/>
    <a:lstStyle/>
    <a:p>
      <a:pPr>
        <a:defRPr sz="1100">
          <a:solidFill>
            <a:schemeClr val="tx1"/>
          </a:solidFill>
        </a:defRPr>
      </a:pPr>
      <a:endParaRPr lang="it-I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0393618809475096"/>
          <c:y val="3.1531535725447223E-2"/>
          <c:w val="0.55431839410675099"/>
          <c:h val="0.92511260265206285"/>
        </c:manualLayout>
      </c:layout>
      <c:doughnutChart>
        <c:varyColors val="1"/>
        <c:ser>
          <c:idx val="0"/>
          <c:order val="0"/>
          <c:dPt>
            <c:idx val="0"/>
            <c:bubble3D val="0"/>
            <c:spPr>
              <a:solidFill>
                <a:srgbClr val="002060"/>
              </a:solidFill>
              <a:ln w="19050">
                <a:solidFill>
                  <a:schemeClr val="lt1"/>
                </a:solidFill>
              </a:ln>
              <a:effectLst/>
            </c:spPr>
            <c:extLst>
              <c:ext xmlns:c16="http://schemas.microsoft.com/office/drawing/2014/chart" uri="{C3380CC4-5D6E-409C-BE32-E72D297353CC}">
                <c16:uniqueId val="{00000001-7E10-4418-8255-9B2555FCE292}"/>
              </c:ext>
            </c:extLst>
          </c:dPt>
          <c:dPt>
            <c:idx val="1"/>
            <c:bubble3D val="0"/>
            <c:spPr>
              <a:solidFill>
                <a:srgbClr val="0070C0"/>
              </a:solidFill>
              <a:ln w="19050">
                <a:solidFill>
                  <a:schemeClr val="lt1"/>
                </a:solidFill>
              </a:ln>
              <a:effectLst/>
            </c:spPr>
            <c:extLst>
              <c:ext xmlns:c16="http://schemas.microsoft.com/office/drawing/2014/chart" uri="{C3380CC4-5D6E-409C-BE32-E72D297353CC}">
                <c16:uniqueId val="{00000003-7E10-4418-8255-9B2555FCE292}"/>
              </c:ext>
            </c:extLst>
          </c:dPt>
          <c:dPt>
            <c:idx val="2"/>
            <c:bubble3D val="0"/>
            <c:spPr>
              <a:solidFill>
                <a:srgbClr val="00B0F0"/>
              </a:solidFill>
              <a:ln w="19050">
                <a:solidFill>
                  <a:schemeClr val="lt1"/>
                </a:solidFill>
              </a:ln>
              <a:effectLst/>
            </c:spPr>
            <c:extLst>
              <c:ext xmlns:c16="http://schemas.microsoft.com/office/drawing/2014/chart" uri="{C3380CC4-5D6E-409C-BE32-E72D297353CC}">
                <c16:uniqueId val="{00000005-7E10-4418-8255-9B2555FCE292}"/>
              </c:ext>
            </c:extLst>
          </c:dPt>
          <c:dPt>
            <c:idx val="3"/>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7-7E10-4418-8255-9B2555FCE292}"/>
              </c:ext>
            </c:extLst>
          </c:dPt>
          <c:dLbls>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mn-lt"/>
                      <a:ea typeface="+mn-ea"/>
                      <a:cs typeface="+mn-cs"/>
                    </a:defRPr>
                  </a:pPr>
                  <a:endParaRPr lang="it-IT"/>
                </a:p>
              </c:txPr>
              <c:showLegendKey val="0"/>
              <c:showVal val="1"/>
              <c:showCatName val="0"/>
              <c:showSerName val="0"/>
              <c:showPercent val="0"/>
              <c:showBubbleSize val="0"/>
              <c:extLst>
                <c:ext xmlns:c16="http://schemas.microsoft.com/office/drawing/2014/chart" uri="{C3380CC4-5D6E-409C-BE32-E72D297353CC}">
                  <c16:uniqueId val="{00000001-7E10-4418-8255-9B2555FCE292}"/>
                </c:ext>
              </c:extLst>
            </c:dLbl>
            <c:dLbl>
              <c:idx val="1"/>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mn-lt"/>
                      <a:ea typeface="+mn-ea"/>
                      <a:cs typeface="+mn-cs"/>
                    </a:defRPr>
                  </a:pPr>
                  <a:endParaRPr lang="it-IT"/>
                </a:p>
              </c:txPr>
              <c:showLegendKey val="0"/>
              <c:showVal val="1"/>
              <c:showCatName val="0"/>
              <c:showSerName val="0"/>
              <c:showPercent val="0"/>
              <c:showBubbleSize val="0"/>
              <c:extLst>
                <c:ext xmlns:c16="http://schemas.microsoft.com/office/drawing/2014/chart" uri="{C3380CC4-5D6E-409C-BE32-E72D297353CC}">
                  <c16:uniqueId val="{00000003-7E10-4418-8255-9B2555FCE292}"/>
                </c:ext>
              </c:extLst>
            </c:dLbl>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it-IT"/>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parte_1!$S$80:$S$83</c:f>
              <c:strCache>
                <c:ptCount val="4"/>
                <c:pt idx="0">
                  <c:v>Licenza di scuola elementare, nessun titolo di studio</c:v>
                </c:pt>
                <c:pt idx="1">
                  <c:v>Licenza di scuola media</c:v>
                </c:pt>
                <c:pt idx="2">
                  <c:v>Diploma</c:v>
                </c:pt>
                <c:pt idx="3">
                  <c:v>Laurea e post-laurea</c:v>
                </c:pt>
              </c:strCache>
            </c:strRef>
          </c:cat>
          <c:val>
            <c:numRef>
              <c:f>parte_1!$T$80:$T$83</c:f>
              <c:numCache>
                <c:formatCode>0</c:formatCode>
                <c:ptCount val="4"/>
                <c:pt idx="0">
                  <c:v>3.2150776053215084</c:v>
                </c:pt>
                <c:pt idx="1">
                  <c:v>16.186252771618626</c:v>
                </c:pt>
                <c:pt idx="2">
                  <c:v>67.184035476718421</c:v>
                </c:pt>
                <c:pt idx="3">
                  <c:v>13.414634146341466</c:v>
                </c:pt>
              </c:numCache>
            </c:numRef>
          </c:val>
          <c:extLst>
            <c:ext xmlns:c16="http://schemas.microsoft.com/office/drawing/2014/chart" uri="{C3380CC4-5D6E-409C-BE32-E72D297353CC}">
              <c16:uniqueId val="{00000008-7E10-4418-8255-9B2555FCE292}"/>
            </c:ext>
          </c:extLst>
        </c:ser>
        <c:dLbls>
          <c:showLegendKey val="0"/>
          <c:showVal val="1"/>
          <c:showCatName val="0"/>
          <c:showSerName val="0"/>
          <c:showPercent val="0"/>
          <c:showBubbleSize val="0"/>
          <c:showLeaderLines val="1"/>
        </c:dLbls>
        <c:firstSliceAng val="0"/>
        <c:holeSize val="68"/>
      </c:doughnutChart>
      <c:spPr>
        <a:noFill/>
        <a:ln>
          <a:noFill/>
        </a:ln>
        <a:effectLst/>
      </c:spPr>
    </c:plotArea>
    <c:legend>
      <c:legendPos val="l"/>
      <c:layout>
        <c:manualLayout>
          <c:xMode val="edge"/>
          <c:yMode val="edge"/>
          <c:x val="1.241134520739651E-2"/>
          <c:y val="0.10831672186237169"/>
          <c:w val="0.3253057556066053"/>
          <c:h val="0.84248787541070913"/>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solidFill>
            <a:schemeClr val="tx1"/>
          </a:solidFill>
        </a:defRPr>
      </a:pPr>
      <a:endParaRPr lang="it-I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parte_1!$T$102</c:f>
              <c:strCache>
                <c:ptCount val="1"/>
                <c:pt idx="0">
                  <c:v>Molto importante</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parte_1!$S$103:$S$106</c:f>
              <c:strCache>
                <c:ptCount val="4"/>
                <c:pt idx="0">
                  <c:v>Domanda nazionale </c:v>
                </c:pt>
                <c:pt idx="1">
                  <c:v>Misure PAC e PSR</c:v>
                </c:pt>
                <c:pt idx="2">
                  <c:v>Crediti assistiti</c:v>
                </c:pt>
                <c:pt idx="3">
                  <c:v>Domanda estera</c:v>
                </c:pt>
              </c:strCache>
            </c:strRef>
          </c:cat>
          <c:val>
            <c:numRef>
              <c:f>parte_1!$T$103:$T$106</c:f>
              <c:numCache>
                <c:formatCode>0</c:formatCode>
                <c:ptCount val="4"/>
                <c:pt idx="0">
                  <c:v>57.272727272727273</c:v>
                </c:pt>
                <c:pt idx="1">
                  <c:v>32.439024390243901</c:v>
                </c:pt>
                <c:pt idx="2">
                  <c:v>12.030075187969926</c:v>
                </c:pt>
                <c:pt idx="3">
                  <c:v>16.590909090909093</c:v>
                </c:pt>
              </c:numCache>
            </c:numRef>
          </c:val>
          <c:extLst>
            <c:ext xmlns:c16="http://schemas.microsoft.com/office/drawing/2014/chart" uri="{C3380CC4-5D6E-409C-BE32-E72D297353CC}">
              <c16:uniqueId val="{00000000-1566-4CD4-A78E-4C9164F51ABE}"/>
            </c:ext>
          </c:extLst>
        </c:ser>
        <c:ser>
          <c:idx val="1"/>
          <c:order val="1"/>
          <c:tx>
            <c:strRef>
              <c:f>parte_1!$U$102</c:f>
              <c:strCache>
                <c:ptCount val="1"/>
                <c:pt idx="0">
                  <c:v>Abbastanza importante</c:v>
                </c:pt>
              </c:strCache>
            </c:strRef>
          </c:tx>
          <c:spPr>
            <a:solidFill>
              <a:srgbClr val="0070C0"/>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parte_1!$S$103:$S$106</c:f>
              <c:strCache>
                <c:ptCount val="4"/>
                <c:pt idx="0">
                  <c:v>Domanda nazionale </c:v>
                </c:pt>
                <c:pt idx="1">
                  <c:v>Misure PAC e PSR</c:v>
                </c:pt>
                <c:pt idx="2">
                  <c:v>Crediti assistiti</c:v>
                </c:pt>
                <c:pt idx="3">
                  <c:v>Domanda estera</c:v>
                </c:pt>
              </c:strCache>
            </c:strRef>
          </c:cat>
          <c:val>
            <c:numRef>
              <c:f>parte_1!$U$103:$U$106</c:f>
              <c:numCache>
                <c:formatCode>0</c:formatCode>
                <c:ptCount val="4"/>
                <c:pt idx="0">
                  <c:v>20.90909090909091</c:v>
                </c:pt>
                <c:pt idx="1">
                  <c:v>26.585365853658537</c:v>
                </c:pt>
                <c:pt idx="2">
                  <c:v>22.807017543859651</c:v>
                </c:pt>
                <c:pt idx="3">
                  <c:v>9.3181818181818183</c:v>
                </c:pt>
              </c:numCache>
            </c:numRef>
          </c:val>
          <c:extLst>
            <c:ext xmlns:c16="http://schemas.microsoft.com/office/drawing/2014/chart" uri="{C3380CC4-5D6E-409C-BE32-E72D297353CC}">
              <c16:uniqueId val="{00000001-1566-4CD4-A78E-4C9164F51ABE}"/>
            </c:ext>
          </c:extLst>
        </c:ser>
        <c:dLbls>
          <c:dLblPos val="ctr"/>
          <c:showLegendKey val="0"/>
          <c:showVal val="1"/>
          <c:showCatName val="0"/>
          <c:showSerName val="0"/>
          <c:showPercent val="0"/>
          <c:showBubbleSize val="0"/>
        </c:dLbls>
        <c:gapWidth val="150"/>
        <c:overlap val="100"/>
        <c:axId val="684632272"/>
        <c:axId val="684636536"/>
      </c:barChart>
      <c:catAx>
        <c:axId val="684632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it-IT"/>
          </a:p>
        </c:txPr>
        <c:crossAx val="684636536"/>
        <c:crosses val="autoZero"/>
        <c:auto val="1"/>
        <c:lblAlgn val="ctr"/>
        <c:lblOffset val="100"/>
        <c:noMultiLvlLbl val="0"/>
      </c:catAx>
      <c:valAx>
        <c:axId val="684636536"/>
        <c:scaling>
          <c:orientation val="minMax"/>
        </c:scaling>
        <c:delete val="0"/>
        <c:axPos val="l"/>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it-IT"/>
          </a:p>
        </c:txPr>
        <c:crossAx val="684632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it-IT"/>
        </a:p>
      </c:txPr>
    </c:legend>
    <c:plotVisOnly val="1"/>
    <c:dispBlanksAs val="gap"/>
    <c:showDLblsOverMax val="0"/>
  </c:chart>
  <c:spPr>
    <a:solidFill>
      <a:schemeClr val="bg1"/>
    </a:solidFill>
    <a:ln w="9525" cap="flat" cmpd="sng" algn="ctr">
      <a:noFill/>
      <a:round/>
    </a:ln>
    <a:effectLst/>
  </c:spPr>
  <c:txPr>
    <a:bodyPr/>
    <a:lstStyle/>
    <a:p>
      <a:pPr>
        <a:defRPr sz="1100">
          <a:solidFill>
            <a:schemeClr val="tx1"/>
          </a:solidFill>
        </a:defRPr>
      </a:pPr>
      <a:endParaRPr lang="it-I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0399111640169103"/>
          <c:y val="2.8727448079301741E-2"/>
          <c:w val="0.47498003237570025"/>
          <c:h val="0.94254510384139656"/>
        </c:manualLayout>
      </c:layout>
      <c:barChart>
        <c:barDir val="bar"/>
        <c:grouping val="clustered"/>
        <c:varyColors val="0"/>
        <c:ser>
          <c:idx val="0"/>
          <c:order val="0"/>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parte_1!$S$156:$S$164</c:f>
              <c:strCache>
                <c:ptCount val="9"/>
                <c:pt idx="0">
                  <c:v>Non ho certificazioni e non sto investendo per averne</c:v>
                </c:pt>
                <c:pt idx="1">
                  <c:v>Certificazione biologica</c:v>
                </c:pt>
                <c:pt idx="2">
                  <c:v>Certificazione di qualità (es. ISO 9001, ecc.)</c:v>
                </c:pt>
                <c:pt idx="3">
                  <c:v>Certificazioni ambientali (es. ISO 50001, ISO 14001, EMAS, ecc.)</c:v>
                </c:pt>
                <c:pt idx="4">
                  <c:v>Certificazione agricoltura integrata volontaria (disciplinari regionali, SQNPI)</c:v>
                </c:pt>
                <c:pt idx="5">
                  <c:v>Non ho certificazioni ma sto investendo per averne</c:v>
                </c:pt>
                <c:pt idx="6">
                  <c:v>Certificazione su rispetto del disciplinare per i prodotti DOP IGP (DOC IGT per il vino)</c:v>
                </c:pt>
                <c:pt idx="7">
                  <c:v>Certificazione sul benessere animale</c:v>
                </c:pt>
                <c:pt idx="8">
                  <c:v>Altre certificazioni</c:v>
                </c:pt>
              </c:strCache>
            </c:strRef>
          </c:cat>
          <c:val>
            <c:numRef>
              <c:f>parte_1!$T$156:$T$164</c:f>
              <c:numCache>
                <c:formatCode>0</c:formatCode>
                <c:ptCount val="9"/>
                <c:pt idx="0">
                  <c:v>49.3</c:v>
                </c:pt>
                <c:pt idx="1">
                  <c:v>21.3</c:v>
                </c:pt>
                <c:pt idx="2">
                  <c:v>20.9</c:v>
                </c:pt>
                <c:pt idx="3">
                  <c:v>10.6</c:v>
                </c:pt>
                <c:pt idx="4">
                  <c:v>5.9</c:v>
                </c:pt>
                <c:pt idx="5">
                  <c:v>5.6</c:v>
                </c:pt>
                <c:pt idx="6">
                  <c:v>4.8</c:v>
                </c:pt>
                <c:pt idx="7">
                  <c:v>4.5999999999999996</c:v>
                </c:pt>
                <c:pt idx="8">
                  <c:v>4.5999999999999996</c:v>
                </c:pt>
              </c:numCache>
            </c:numRef>
          </c:val>
          <c:extLst>
            <c:ext xmlns:c16="http://schemas.microsoft.com/office/drawing/2014/chart" uri="{C3380CC4-5D6E-409C-BE32-E72D297353CC}">
              <c16:uniqueId val="{00000000-DE24-4103-A538-1178B0BD4F33}"/>
            </c:ext>
          </c:extLst>
        </c:ser>
        <c:dLbls>
          <c:showLegendKey val="0"/>
          <c:showVal val="0"/>
          <c:showCatName val="0"/>
          <c:showSerName val="0"/>
          <c:showPercent val="0"/>
          <c:showBubbleSize val="0"/>
        </c:dLbls>
        <c:gapWidth val="182"/>
        <c:axId val="684463472"/>
        <c:axId val="684464128"/>
      </c:barChart>
      <c:catAx>
        <c:axId val="68446347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it-IT"/>
          </a:p>
        </c:txPr>
        <c:crossAx val="684464128"/>
        <c:crosses val="autoZero"/>
        <c:auto val="1"/>
        <c:lblAlgn val="ctr"/>
        <c:lblOffset val="100"/>
        <c:noMultiLvlLbl val="0"/>
      </c:catAx>
      <c:valAx>
        <c:axId val="684464128"/>
        <c:scaling>
          <c:orientation val="minMax"/>
        </c:scaling>
        <c:delete val="1"/>
        <c:axPos val="t"/>
        <c:numFmt formatCode="0" sourceLinked="1"/>
        <c:majorTickMark val="none"/>
        <c:minorTickMark val="none"/>
        <c:tickLblPos val="nextTo"/>
        <c:crossAx val="6844634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100">
          <a:solidFill>
            <a:schemeClr val="tx1"/>
          </a:solidFill>
        </a:defRPr>
      </a:pPr>
      <a:endParaRPr lang="it-I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475916507942742E-2"/>
          <c:y val="4.0933051607542771E-2"/>
          <c:w val="0.90766456562007058"/>
          <c:h val="0.7216221947666378"/>
        </c:manualLayout>
      </c:layout>
      <c:barChart>
        <c:barDir val="col"/>
        <c:grouping val="stacked"/>
        <c:varyColors val="0"/>
        <c:ser>
          <c:idx val="0"/>
          <c:order val="0"/>
          <c:tx>
            <c:strRef>
              <c:f>parte_1!$T$189</c:f>
              <c:strCache>
                <c:ptCount val="1"/>
                <c:pt idx="0">
                  <c:v>Molto consistente</c:v>
                </c:pt>
              </c:strCache>
            </c:strRef>
          </c:tx>
          <c:spPr>
            <a:solidFill>
              <a:srgbClr val="002060"/>
            </a:solidFill>
            <a:ln>
              <a:noFill/>
            </a:ln>
            <a:effectLst/>
          </c:spPr>
          <c:invertIfNegative val="0"/>
          <c:dLbls>
            <c:dLbl>
              <c:idx val="3"/>
              <c:layout>
                <c:manualLayout>
                  <c:x val="5.1643191295072471E-2"/>
                  <c:y val="-1.4822135540610076E-2"/>
                </c:manualLayout>
              </c:layout>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it-IT"/>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926-4D96-A353-2A409CA4CAD6}"/>
                </c:ext>
              </c:extLst>
            </c:dLbl>
            <c:dLbl>
              <c:idx val="4"/>
              <c:layout>
                <c:manualLayout>
                  <c:x val="5.1643191295072471E-2"/>
                  <c:y val="-1.7786562648731959E-2"/>
                </c:manualLayout>
              </c:layout>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it-IT"/>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926-4D96-A353-2A409CA4CAD6}"/>
                </c:ext>
              </c:extLst>
            </c:dLbl>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parte_1!$S$190:$S$194</c:f>
              <c:strCache>
                <c:ptCount val="5"/>
                <c:pt idx="0">
                  <c:v>Capitale proprio/familiare</c:v>
                </c:pt>
                <c:pt idx="1">
                  <c:v>Finanziamenti/credito bancario</c:v>
                </c:pt>
                <c:pt idx="2">
                  <c:v>Finanziamenti pubblici diretti (PAC E PSR)</c:v>
                </c:pt>
                <c:pt idx="3">
                  <c:v>Finanziamenti con garanzia e confidi</c:v>
                </c:pt>
                <c:pt idx="4">
                  <c:v>Attività liquide presenti in bilancio</c:v>
                </c:pt>
              </c:strCache>
            </c:strRef>
          </c:cat>
          <c:val>
            <c:numRef>
              <c:f>parte_1!$T$190:$T$194</c:f>
              <c:numCache>
                <c:formatCode>0</c:formatCode>
                <c:ptCount val="5"/>
                <c:pt idx="0">
                  <c:v>76</c:v>
                </c:pt>
                <c:pt idx="1">
                  <c:v>52.149944873208376</c:v>
                </c:pt>
                <c:pt idx="2">
                  <c:v>11.975308641975307</c:v>
                </c:pt>
                <c:pt idx="3">
                  <c:v>1.9206145966709349</c:v>
                </c:pt>
                <c:pt idx="4">
                  <c:v>1.5345268542199491</c:v>
                </c:pt>
              </c:numCache>
            </c:numRef>
          </c:val>
          <c:extLst>
            <c:ext xmlns:c16="http://schemas.microsoft.com/office/drawing/2014/chart" uri="{C3380CC4-5D6E-409C-BE32-E72D297353CC}">
              <c16:uniqueId val="{00000002-4926-4D96-A353-2A409CA4CAD6}"/>
            </c:ext>
          </c:extLst>
        </c:ser>
        <c:ser>
          <c:idx val="1"/>
          <c:order val="1"/>
          <c:tx>
            <c:strRef>
              <c:f>parte_1!$U$189</c:f>
              <c:strCache>
                <c:ptCount val="1"/>
                <c:pt idx="0">
                  <c:v>Poco consistente</c:v>
                </c:pt>
              </c:strCache>
            </c:strRef>
          </c:tx>
          <c:spPr>
            <a:solidFill>
              <a:srgbClr val="0070C0"/>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parte_1!$S$190:$S$194</c:f>
              <c:strCache>
                <c:ptCount val="5"/>
                <c:pt idx="0">
                  <c:v>Capitale proprio/familiare</c:v>
                </c:pt>
                <c:pt idx="1">
                  <c:v>Finanziamenti/credito bancario</c:v>
                </c:pt>
                <c:pt idx="2">
                  <c:v>Finanziamenti pubblici diretti (PAC E PSR)</c:v>
                </c:pt>
                <c:pt idx="3">
                  <c:v>Finanziamenti con garanzia e confidi</c:v>
                </c:pt>
                <c:pt idx="4">
                  <c:v>Attività liquide presenti in bilancio</c:v>
                </c:pt>
              </c:strCache>
            </c:strRef>
          </c:cat>
          <c:val>
            <c:numRef>
              <c:f>parte_1!$U$190:$U$194</c:f>
              <c:numCache>
                <c:formatCode>0</c:formatCode>
                <c:ptCount val="5"/>
                <c:pt idx="0">
                  <c:v>10.210526315789473</c:v>
                </c:pt>
                <c:pt idx="1">
                  <c:v>21.278941565600885</c:v>
                </c:pt>
                <c:pt idx="2">
                  <c:v>13.086419753086419</c:v>
                </c:pt>
                <c:pt idx="3">
                  <c:v>9</c:v>
                </c:pt>
                <c:pt idx="4">
                  <c:v>8.8235294117647083</c:v>
                </c:pt>
              </c:numCache>
            </c:numRef>
          </c:val>
          <c:extLst>
            <c:ext xmlns:c16="http://schemas.microsoft.com/office/drawing/2014/chart" uri="{C3380CC4-5D6E-409C-BE32-E72D297353CC}">
              <c16:uniqueId val="{00000003-4926-4D96-A353-2A409CA4CAD6}"/>
            </c:ext>
          </c:extLst>
        </c:ser>
        <c:dLbls>
          <c:dLblPos val="ctr"/>
          <c:showLegendKey val="0"/>
          <c:showVal val="1"/>
          <c:showCatName val="0"/>
          <c:showSerName val="0"/>
          <c:showPercent val="0"/>
          <c:showBubbleSize val="0"/>
        </c:dLbls>
        <c:gapWidth val="150"/>
        <c:overlap val="100"/>
        <c:axId val="684632272"/>
        <c:axId val="684636536"/>
      </c:barChart>
      <c:catAx>
        <c:axId val="684632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t-IT"/>
          </a:p>
        </c:txPr>
        <c:crossAx val="684636536"/>
        <c:crosses val="autoZero"/>
        <c:auto val="1"/>
        <c:lblAlgn val="ctr"/>
        <c:lblOffset val="100"/>
        <c:noMultiLvlLbl val="0"/>
      </c:catAx>
      <c:valAx>
        <c:axId val="684636536"/>
        <c:scaling>
          <c:orientation val="minMax"/>
        </c:scaling>
        <c:delete val="0"/>
        <c:axPos val="l"/>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it-IT"/>
          </a:p>
        </c:txPr>
        <c:crossAx val="684632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it-IT"/>
        </a:p>
      </c:txPr>
    </c:legend>
    <c:plotVisOnly val="1"/>
    <c:dispBlanksAs val="gap"/>
    <c:showDLblsOverMax val="0"/>
  </c:chart>
  <c:spPr>
    <a:solidFill>
      <a:schemeClr val="bg1"/>
    </a:solidFill>
    <a:ln w="9525" cap="flat" cmpd="sng" algn="ctr">
      <a:noFill/>
      <a:round/>
    </a:ln>
    <a:effectLst/>
  </c:spPr>
  <c:txPr>
    <a:bodyPr/>
    <a:lstStyle/>
    <a:p>
      <a:pPr>
        <a:defRPr sz="1100">
          <a:solidFill>
            <a:schemeClr val="tx1"/>
          </a:solidFill>
        </a:defRPr>
      </a:pPr>
      <a:endParaRPr lang="it-IT"/>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relazioni!$T$5</c:f>
              <c:strCache>
                <c:ptCount val="1"/>
                <c:pt idx="0">
                  <c:v>Agricoltura</c:v>
                </c:pt>
              </c:strCache>
            </c:strRef>
          </c:tx>
          <c:spPr>
            <a:solidFill>
              <a:srgbClr val="002060"/>
            </a:solidFill>
            <a:ln>
              <a:noFill/>
            </a:ln>
            <a:effectLst/>
          </c:spPr>
          <c:invertIfNegative val="0"/>
          <c:cat>
            <c:strRef>
              <c:f>relazioni!$S$6:$S$18</c:f>
              <c:strCache>
                <c:ptCount val="13"/>
                <c:pt idx="0">
                  <c:v>Dipendenti: capitale umano</c:v>
                </c:pt>
                <c:pt idx="1">
                  <c:v>Dipendenti: progetti di innovazione</c:v>
                </c:pt>
                <c:pt idx="2">
                  <c:v>Associazioni di categoria </c:v>
                </c:pt>
                <c:pt idx="3">
                  <c:v>Altre imprese</c:v>
                </c:pt>
                <c:pt idx="4">
                  <c:v>Istituzioni territoriali</c:v>
                </c:pt>
                <c:pt idx="5">
                  <c:v>Mondo bancario</c:v>
                </c:pt>
                <c:pt idx="6">
                  <c:v>Scuole</c:v>
                </c:pt>
                <c:pt idx="7">
                  <c:v>Iniziative per il territorio</c:v>
                </c:pt>
                <c:pt idx="8">
                  <c:v>Scuole e Università: progetti di open innovation </c:v>
                </c:pt>
                <c:pt idx="9">
                  <c:v>Associazioni: es. volontariato</c:v>
                </c:pt>
                <c:pt idx="10">
                  <c:v>Dipendenti: welfare </c:v>
                </c:pt>
                <c:pt idx="11">
                  <c:v>Consumatori: campagne di utilità </c:v>
                </c:pt>
                <c:pt idx="12">
                  <c:v>Consumatori: coprogettazione e ascolto attivo </c:v>
                </c:pt>
              </c:strCache>
            </c:strRef>
          </c:cat>
          <c:val>
            <c:numRef>
              <c:f>relazioni!$T$6:$T$18</c:f>
              <c:numCache>
                <c:formatCode>#,##0</c:formatCode>
                <c:ptCount val="13"/>
                <c:pt idx="0">
                  <c:v>60.4</c:v>
                </c:pt>
                <c:pt idx="1">
                  <c:v>42.3</c:v>
                </c:pt>
                <c:pt idx="2">
                  <c:v>37.299999999999997</c:v>
                </c:pt>
                <c:pt idx="3">
                  <c:v>35.4</c:v>
                </c:pt>
                <c:pt idx="4">
                  <c:v>29.5</c:v>
                </c:pt>
                <c:pt idx="5">
                  <c:v>30.8</c:v>
                </c:pt>
                <c:pt idx="6">
                  <c:v>24.9</c:v>
                </c:pt>
                <c:pt idx="7">
                  <c:v>12.2</c:v>
                </c:pt>
                <c:pt idx="8">
                  <c:v>18.2</c:v>
                </c:pt>
                <c:pt idx="9">
                  <c:v>20.399999999999999</c:v>
                </c:pt>
                <c:pt idx="10">
                  <c:v>46.3</c:v>
                </c:pt>
                <c:pt idx="11">
                  <c:v>12</c:v>
                </c:pt>
                <c:pt idx="12">
                  <c:v>15.8</c:v>
                </c:pt>
              </c:numCache>
            </c:numRef>
          </c:val>
          <c:extLst>
            <c:ext xmlns:c16="http://schemas.microsoft.com/office/drawing/2014/chart" uri="{C3380CC4-5D6E-409C-BE32-E72D297353CC}">
              <c16:uniqueId val="{00000000-C791-4140-8AA3-E67ABC3EA4E3}"/>
            </c:ext>
          </c:extLst>
        </c:ser>
        <c:ser>
          <c:idx val="1"/>
          <c:order val="1"/>
          <c:tx>
            <c:strRef>
              <c:f>relazioni!$U$5</c:f>
              <c:strCache>
                <c:ptCount val="1"/>
                <c:pt idx="0">
                  <c:v>Manifattura</c:v>
                </c:pt>
              </c:strCache>
            </c:strRef>
          </c:tx>
          <c:spPr>
            <a:solidFill>
              <a:srgbClr val="0070C0"/>
            </a:solidFill>
            <a:ln>
              <a:noFill/>
            </a:ln>
            <a:effectLst/>
          </c:spPr>
          <c:invertIfNegative val="0"/>
          <c:cat>
            <c:strRef>
              <c:f>relazioni!$S$6:$S$18</c:f>
              <c:strCache>
                <c:ptCount val="13"/>
                <c:pt idx="0">
                  <c:v>Dipendenti: capitale umano</c:v>
                </c:pt>
                <c:pt idx="1">
                  <c:v>Dipendenti: progetti di innovazione</c:v>
                </c:pt>
                <c:pt idx="2">
                  <c:v>Associazioni di categoria </c:v>
                </c:pt>
                <c:pt idx="3">
                  <c:v>Altre imprese</c:v>
                </c:pt>
                <c:pt idx="4">
                  <c:v>Istituzioni territoriali</c:v>
                </c:pt>
                <c:pt idx="5">
                  <c:v>Mondo bancario</c:v>
                </c:pt>
                <c:pt idx="6">
                  <c:v>Scuole</c:v>
                </c:pt>
                <c:pt idx="7">
                  <c:v>Iniziative per il territorio</c:v>
                </c:pt>
                <c:pt idx="8">
                  <c:v>Scuole e Università: progetti di open innovation </c:v>
                </c:pt>
                <c:pt idx="9">
                  <c:v>Associazioni: es. volontariato</c:v>
                </c:pt>
                <c:pt idx="10">
                  <c:v>Dipendenti: welfare </c:v>
                </c:pt>
                <c:pt idx="11">
                  <c:v>Consumatori: campagne di utilità </c:v>
                </c:pt>
                <c:pt idx="12">
                  <c:v>Consumatori: coprogettazione e ascolto attivo </c:v>
                </c:pt>
              </c:strCache>
            </c:strRef>
          </c:cat>
          <c:val>
            <c:numRef>
              <c:f>relazioni!$U$6:$U$18</c:f>
              <c:numCache>
                <c:formatCode>#,##0</c:formatCode>
                <c:ptCount val="13"/>
                <c:pt idx="0">
                  <c:v>51</c:v>
                </c:pt>
                <c:pt idx="1">
                  <c:v>37</c:v>
                </c:pt>
                <c:pt idx="2">
                  <c:v>30</c:v>
                </c:pt>
                <c:pt idx="3">
                  <c:v>30</c:v>
                </c:pt>
                <c:pt idx="4">
                  <c:v>15</c:v>
                </c:pt>
                <c:pt idx="5">
                  <c:v>45</c:v>
                </c:pt>
                <c:pt idx="6">
                  <c:v>33</c:v>
                </c:pt>
                <c:pt idx="7">
                  <c:v>22</c:v>
                </c:pt>
                <c:pt idx="8">
                  <c:v>20</c:v>
                </c:pt>
                <c:pt idx="9">
                  <c:v>23</c:v>
                </c:pt>
                <c:pt idx="10">
                  <c:v>43</c:v>
                </c:pt>
                <c:pt idx="11">
                  <c:v>12</c:v>
                </c:pt>
                <c:pt idx="12">
                  <c:v>14.000000000000002</c:v>
                </c:pt>
              </c:numCache>
            </c:numRef>
          </c:val>
          <c:extLst>
            <c:ext xmlns:c16="http://schemas.microsoft.com/office/drawing/2014/chart" uri="{C3380CC4-5D6E-409C-BE32-E72D297353CC}">
              <c16:uniqueId val="{00000001-C791-4140-8AA3-E67ABC3EA4E3}"/>
            </c:ext>
          </c:extLst>
        </c:ser>
        <c:ser>
          <c:idx val="2"/>
          <c:order val="2"/>
          <c:tx>
            <c:strRef>
              <c:f>relazioni!$V$5</c:f>
              <c:strCache>
                <c:ptCount val="1"/>
                <c:pt idx="0">
                  <c:v>Terziario</c:v>
                </c:pt>
              </c:strCache>
            </c:strRef>
          </c:tx>
          <c:spPr>
            <a:solidFill>
              <a:srgbClr val="00B0F0"/>
            </a:solidFill>
            <a:ln>
              <a:noFill/>
            </a:ln>
            <a:effectLst/>
          </c:spPr>
          <c:invertIfNegative val="0"/>
          <c:cat>
            <c:strRef>
              <c:f>relazioni!$S$6:$S$18</c:f>
              <c:strCache>
                <c:ptCount val="13"/>
                <c:pt idx="0">
                  <c:v>Dipendenti: capitale umano</c:v>
                </c:pt>
                <c:pt idx="1">
                  <c:v>Dipendenti: progetti di innovazione</c:v>
                </c:pt>
                <c:pt idx="2">
                  <c:v>Associazioni di categoria </c:v>
                </c:pt>
                <c:pt idx="3">
                  <c:v>Altre imprese</c:v>
                </c:pt>
                <c:pt idx="4">
                  <c:v>Istituzioni territoriali</c:v>
                </c:pt>
                <c:pt idx="5">
                  <c:v>Mondo bancario</c:v>
                </c:pt>
                <c:pt idx="6">
                  <c:v>Scuole</c:v>
                </c:pt>
                <c:pt idx="7">
                  <c:v>Iniziative per il territorio</c:v>
                </c:pt>
                <c:pt idx="8">
                  <c:v>Scuole e Università: progetti di open innovation </c:v>
                </c:pt>
                <c:pt idx="9">
                  <c:v>Associazioni: es. volontariato</c:v>
                </c:pt>
                <c:pt idx="10">
                  <c:v>Dipendenti: welfare </c:v>
                </c:pt>
                <c:pt idx="11">
                  <c:v>Consumatori: campagne di utilità </c:v>
                </c:pt>
                <c:pt idx="12">
                  <c:v>Consumatori: coprogettazione e ascolto attivo </c:v>
                </c:pt>
              </c:strCache>
            </c:strRef>
          </c:cat>
          <c:val>
            <c:numRef>
              <c:f>relazioni!$V$6:$V$18</c:f>
              <c:numCache>
                <c:formatCode>#,##0</c:formatCode>
                <c:ptCount val="13"/>
                <c:pt idx="0">
                  <c:v>45</c:v>
                </c:pt>
                <c:pt idx="1">
                  <c:v>32</c:v>
                </c:pt>
                <c:pt idx="2">
                  <c:v>31</c:v>
                </c:pt>
                <c:pt idx="3">
                  <c:v>25</c:v>
                </c:pt>
                <c:pt idx="4">
                  <c:v>15</c:v>
                </c:pt>
                <c:pt idx="5">
                  <c:v>40</c:v>
                </c:pt>
                <c:pt idx="6">
                  <c:v>31</c:v>
                </c:pt>
                <c:pt idx="7">
                  <c:v>24</c:v>
                </c:pt>
                <c:pt idx="8">
                  <c:v>19</c:v>
                </c:pt>
                <c:pt idx="9">
                  <c:v>26</c:v>
                </c:pt>
                <c:pt idx="10">
                  <c:v>40</c:v>
                </c:pt>
                <c:pt idx="11">
                  <c:v>15</c:v>
                </c:pt>
                <c:pt idx="12">
                  <c:v>13</c:v>
                </c:pt>
              </c:numCache>
            </c:numRef>
          </c:val>
          <c:extLst>
            <c:ext xmlns:c16="http://schemas.microsoft.com/office/drawing/2014/chart" uri="{C3380CC4-5D6E-409C-BE32-E72D297353CC}">
              <c16:uniqueId val="{00000002-C791-4140-8AA3-E67ABC3EA4E3}"/>
            </c:ext>
          </c:extLst>
        </c:ser>
        <c:dLbls>
          <c:showLegendKey val="0"/>
          <c:showVal val="0"/>
          <c:showCatName val="0"/>
          <c:showSerName val="0"/>
          <c:showPercent val="0"/>
          <c:showBubbleSize val="0"/>
        </c:dLbls>
        <c:gapWidth val="219"/>
        <c:overlap val="-50"/>
        <c:axId val="748748792"/>
        <c:axId val="748749776"/>
      </c:barChart>
      <c:catAx>
        <c:axId val="74874879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it-IT"/>
          </a:p>
        </c:txPr>
        <c:crossAx val="748749776"/>
        <c:crosses val="autoZero"/>
        <c:auto val="1"/>
        <c:lblAlgn val="ctr"/>
        <c:lblOffset val="100"/>
        <c:noMultiLvlLbl val="0"/>
      </c:catAx>
      <c:valAx>
        <c:axId val="748749776"/>
        <c:scaling>
          <c:orientation val="minMax"/>
          <c:max val="62"/>
          <c:min val="10"/>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high"/>
        <c:spPr>
          <a:noFill/>
          <a:ln>
            <a:noFill/>
          </a:ln>
          <a:effectLst/>
        </c:spPr>
        <c:txPr>
          <a:bodyPr rot="-6000000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it-IT"/>
          </a:p>
        </c:txPr>
        <c:crossAx val="748748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it-IT"/>
        </a:p>
      </c:txPr>
    </c:legend>
    <c:plotVisOnly val="1"/>
    <c:dispBlanksAs val="gap"/>
    <c:showDLblsOverMax val="0"/>
  </c:chart>
  <c:spPr>
    <a:solidFill>
      <a:schemeClr val="bg1"/>
    </a:solidFill>
    <a:ln w="9525" cap="flat" cmpd="sng" algn="ctr">
      <a:noFill/>
      <a:round/>
    </a:ln>
    <a:effectLst/>
  </c:spPr>
  <c:txPr>
    <a:bodyPr/>
    <a:lstStyle/>
    <a:p>
      <a:pPr>
        <a:defRPr sz="1050">
          <a:solidFill>
            <a:schemeClr val="tx1"/>
          </a:solidFill>
        </a:defRPr>
      </a:pPr>
      <a:endParaRPr lang="it-IT"/>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fornitori!$S$8:$S$16</c:f>
              <c:strCache>
                <c:ptCount val="9"/>
                <c:pt idx="0">
                  <c:v>Rapporti consolidati con la nostra azienda</c:v>
                </c:pt>
                <c:pt idx="1">
                  <c:v>Buon equilibrio tra qualità e prezzo</c:v>
                </c:pt>
                <c:pt idx="2">
                  <c:v>Affidabilità e qualità del subfornitore</c:v>
                </c:pt>
                <c:pt idx="3">
                  <c:v>Rapidità di consegna-erogazione del servizio</c:v>
                </c:pt>
                <c:pt idx="4">
                  <c:v>Localizzazione del fornitore vicino alla nostra azienda</c:v>
                </c:pt>
                <c:pt idx="5">
                  <c:v>Condivisione di valori</c:v>
                </c:pt>
                <c:pt idx="6">
                  <c:v>L’azienda non si rivolge a fornitori di input produttivi e/o di servizi</c:v>
                </c:pt>
                <c:pt idx="7">
                  <c:v>Sostenibilità e circolarità delle produzioni o dei servizi</c:v>
                </c:pt>
                <c:pt idx="8">
                  <c:v>Capacità del fornitore di progettare con la nostra azienda e proporre miglioramenti ai prodotti</c:v>
                </c:pt>
              </c:strCache>
            </c:strRef>
          </c:cat>
          <c:val>
            <c:numRef>
              <c:f>fornitori!$T$8:$T$16</c:f>
              <c:numCache>
                <c:formatCode>0</c:formatCode>
                <c:ptCount val="9"/>
                <c:pt idx="0">
                  <c:v>47.5</c:v>
                </c:pt>
                <c:pt idx="1">
                  <c:v>24.4</c:v>
                </c:pt>
                <c:pt idx="2">
                  <c:v>15.9</c:v>
                </c:pt>
                <c:pt idx="3">
                  <c:v>3.8</c:v>
                </c:pt>
                <c:pt idx="4">
                  <c:v>3.6</c:v>
                </c:pt>
                <c:pt idx="5">
                  <c:v>1.4</c:v>
                </c:pt>
                <c:pt idx="6">
                  <c:v>1.2</c:v>
                </c:pt>
                <c:pt idx="7">
                  <c:v>1.1000000000000001</c:v>
                </c:pt>
                <c:pt idx="8">
                  <c:v>1.1000000000000001</c:v>
                </c:pt>
              </c:numCache>
            </c:numRef>
          </c:val>
          <c:extLst>
            <c:ext xmlns:c16="http://schemas.microsoft.com/office/drawing/2014/chart" uri="{C3380CC4-5D6E-409C-BE32-E72D297353CC}">
              <c16:uniqueId val="{00000000-BEE2-4BD4-AD3F-84080A558002}"/>
            </c:ext>
          </c:extLst>
        </c:ser>
        <c:dLbls>
          <c:showLegendKey val="0"/>
          <c:showVal val="0"/>
          <c:showCatName val="0"/>
          <c:showSerName val="0"/>
          <c:showPercent val="0"/>
          <c:showBubbleSize val="0"/>
        </c:dLbls>
        <c:gapWidth val="182"/>
        <c:axId val="572202096"/>
        <c:axId val="572195536"/>
      </c:barChart>
      <c:catAx>
        <c:axId val="57220209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it-IT"/>
          </a:p>
        </c:txPr>
        <c:crossAx val="572195536"/>
        <c:crosses val="autoZero"/>
        <c:auto val="1"/>
        <c:lblAlgn val="ctr"/>
        <c:lblOffset val="100"/>
        <c:noMultiLvlLbl val="0"/>
      </c:catAx>
      <c:valAx>
        <c:axId val="572195536"/>
        <c:scaling>
          <c:orientation val="minMax"/>
        </c:scaling>
        <c:delete val="1"/>
        <c:axPos val="t"/>
        <c:numFmt formatCode="0" sourceLinked="1"/>
        <c:majorTickMark val="none"/>
        <c:minorTickMark val="none"/>
        <c:tickLblPos val="nextTo"/>
        <c:crossAx val="5722020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100">
          <a:solidFill>
            <a:schemeClr val="tx1"/>
          </a:solidFill>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EC917-AF42-40FB-B399-36FA38624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12468</Words>
  <Characters>71072</Characters>
  <Application>Microsoft Office Word</Application>
  <DocSecurity>0</DocSecurity>
  <Lines>592</Lines>
  <Paragraphs>166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Loredana Capuozzo</cp:lastModifiedBy>
  <cp:revision>2</cp:revision>
  <cp:lastPrinted>2023-05-03T14:07:00Z</cp:lastPrinted>
  <dcterms:created xsi:type="dcterms:W3CDTF">2023-05-09T16:21:00Z</dcterms:created>
  <dcterms:modified xsi:type="dcterms:W3CDTF">2023-05-09T16:21:00Z</dcterms:modified>
</cp:coreProperties>
</file>