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8986F" w14:textId="184C18E3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3A636BAC" w14:textId="77777777" w:rsidR="00D11523" w:rsidRDefault="00D11523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40397053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696E71B" w14:textId="77777777" w:rsidR="00447C70" w:rsidRDefault="00447C70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4F30EC7" w14:textId="77777777" w:rsidR="00CD325D" w:rsidRPr="00CD325D" w:rsidRDefault="00CD325D" w:rsidP="00CD325D">
      <w:pPr>
        <w:rPr>
          <w:rFonts w:asciiTheme="minorHAnsi" w:eastAsia="Calibri" w:hAnsiTheme="minorHAnsi" w:cstheme="minorHAnsi"/>
          <w:b/>
        </w:rPr>
      </w:pPr>
      <w:bookmarkStart w:id="0" w:name="_Hlk136869193"/>
    </w:p>
    <w:p w14:paraId="6B8AA522" w14:textId="6FD597F3" w:rsidR="00CD325D" w:rsidRPr="00CD325D" w:rsidRDefault="00CD325D" w:rsidP="00CD325D">
      <w:pPr>
        <w:pStyle w:val="LO-normal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Imprese: i</w:t>
      </w:r>
      <w:r w:rsidRPr="00CD325D">
        <w:rPr>
          <w:rFonts w:ascii="Calibri" w:eastAsia="Calibri" w:hAnsi="Calibri" w:cs="Calibri"/>
          <w:b/>
          <w:sz w:val="32"/>
          <w:szCs w:val="32"/>
        </w:rPr>
        <w:t xml:space="preserve">l 34% investirà in digitale, il 37% in green entro il 2025 </w:t>
      </w:r>
    </w:p>
    <w:p w14:paraId="40EDF613" w14:textId="77777777" w:rsidR="00CD325D" w:rsidRPr="00CD325D" w:rsidRDefault="00CD325D" w:rsidP="00CD325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405FFF6" w14:textId="77777777" w:rsidR="00CD325D" w:rsidRPr="00CD325D" w:rsidRDefault="00CD325D" w:rsidP="00CD325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CD325D">
        <w:rPr>
          <w:rFonts w:ascii="Calibri" w:eastAsia="Calibri" w:hAnsi="Calibri" w:cs="Calibri"/>
          <w:b/>
          <w:sz w:val="32"/>
          <w:szCs w:val="32"/>
        </w:rPr>
        <w:t xml:space="preserve">Quasi una su tre lo farà grazie al </w:t>
      </w:r>
      <w:proofErr w:type="spellStart"/>
      <w:r w:rsidRPr="00CD325D">
        <w:rPr>
          <w:rFonts w:ascii="Calibri" w:eastAsia="Calibri" w:hAnsi="Calibri" w:cs="Calibri"/>
          <w:b/>
          <w:sz w:val="32"/>
          <w:szCs w:val="32"/>
        </w:rPr>
        <w:t>Pnrr</w:t>
      </w:r>
      <w:proofErr w:type="spellEnd"/>
    </w:p>
    <w:p w14:paraId="753937A9" w14:textId="77777777" w:rsidR="00CD325D" w:rsidRPr="00CD325D" w:rsidRDefault="00CD325D" w:rsidP="00CD325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F19508C" w14:textId="002F6438" w:rsidR="00CD325D" w:rsidRPr="00CD325D" w:rsidRDefault="00CD325D" w:rsidP="00CD325D">
      <w:pPr>
        <w:pStyle w:val="LO-normal"/>
        <w:rPr>
          <w:rFonts w:ascii="Calibri" w:eastAsia="Calibri" w:hAnsi="Calibri" w:cs="Calibri"/>
          <w:b/>
          <w:sz w:val="32"/>
          <w:szCs w:val="32"/>
        </w:rPr>
      </w:pPr>
      <w:r w:rsidRPr="00CD325D">
        <w:rPr>
          <w:rFonts w:ascii="Calibri" w:eastAsia="Calibri" w:hAnsi="Calibri" w:cs="Calibri"/>
          <w:b/>
          <w:sz w:val="32"/>
          <w:szCs w:val="32"/>
        </w:rPr>
        <w:t>Doppia transizione 4.0 e green spinge la produttività del +14%</w:t>
      </w:r>
    </w:p>
    <w:bookmarkEnd w:id="0"/>
    <w:p w14:paraId="314AB123" w14:textId="77777777" w:rsidR="00447C70" w:rsidRDefault="00447C70" w:rsidP="00BC0748">
      <w:pPr>
        <w:rPr>
          <w:rFonts w:asciiTheme="minorHAnsi" w:eastAsia="Calibri" w:hAnsiTheme="minorHAnsi" w:cstheme="minorHAnsi"/>
        </w:rPr>
      </w:pPr>
    </w:p>
    <w:p w14:paraId="1FB961B6" w14:textId="10B003CD" w:rsidR="00CD325D" w:rsidRPr="00CD325D" w:rsidRDefault="002B498E" w:rsidP="00CD325D">
      <w:pPr>
        <w:jc w:val="both"/>
        <w:rPr>
          <w:rFonts w:asciiTheme="minorHAnsi" w:eastAsia="Calibri" w:hAnsiTheme="minorHAnsi" w:cstheme="minorHAnsi"/>
        </w:rPr>
      </w:pPr>
      <w:r w:rsidRPr="008F5FBD">
        <w:rPr>
          <w:rFonts w:asciiTheme="minorHAnsi" w:eastAsia="Calibri" w:hAnsiTheme="minorHAnsi" w:cstheme="minorHAnsi"/>
        </w:rPr>
        <w:t xml:space="preserve">Roma, </w:t>
      </w:r>
      <w:r w:rsidR="00BC509A">
        <w:rPr>
          <w:rFonts w:asciiTheme="minorHAnsi" w:eastAsia="Calibri" w:hAnsiTheme="minorHAnsi" w:cstheme="minorHAnsi"/>
        </w:rPr>
        <w:t>19</w:t>
      </w:r>
      <w:r w:rsidRPr="008F5FBD">
        <w:rPr>
          <w:rFonts w:asciiTheme="minorHAnsi" w:eastAsia="Calibri" w:hAnsiTheme="minorHAnsi" w:cstheme="minorHAnsi"/>
        </w:rPr>
        <w:t xml:space="preserve"> </w:t>
      </w:r>
      <w:r w:rsidR="007976B9">
        <w:rPr>
          <w:rFonts w:asciiTheme="minorHAnsi" w:eastAsia="Calibri" w:hAnsiTheme="minorHAnsi" w:cstheme="minorHAnsi"/>
        </w:rPr>
        <w:t>giugno</w:t>
      </w:r>
      <w:r w:rsidRPr="008F5FBD">
        <w:rPr>
          <w:rFonts w:asciiTheme="minorHAnsi" w:eastAsia="Calibri" w:hAnsiTheme="minorHAnsi" w:cstheme="minorHAnsi"/>
        </w:rPr>
        <w:t xml:space="preserve"> 202</w:t>
      </w:r>
      <w:r w:rsidR="00353738" w:rsidRPr="008F5FBD">
        <w:rPr>
          <w:rFonts w:asciiTheme="minorHAnsi" w:eastAsia="Calibri" w:hAnsiTheme="minorHAnsi" w:cstheme="minorHAnsi"/>
        </w:rPr>
        <w:t>3</w:t>
      </w:r>
      <w:r w:rsidRPr="008F5FBD">
        <w:rPr>
          <w:rFonts w:asciiTheme="minorHAnsi" w:eastAsia="Calibri" w:hAnsiTheme="minorHAnsi" w:cstheme="minorHAnsi"/>
        </w:rPr>
        <w:t xml:space="preserve"> –</w:t>
      </w:r>
      <w:r w:rsidR="00C74382">
        <w:rPr>
          <w:rFonts w:asciiTheme="minorHAnsi" w:eastAsia="Calibri" w:hAnsiTheme="minorHAnsi" w:cstheme="minorHAnsi"/>
        </w:rPr>
        <w:t xml:space="preserve"> </w:t>
      </w:r>
      <w:r w:rsidR="00CD325D" w:rsidRPr="00CD325D">
        <w:rPr>
          <w:rFonts w:asciiTheme="minorHAnsi" w:eastAsia="Calibri" w:hAnsiTheme="minorHAnsi" w:cstheme="minorHAnsi"/>
          <w:bCs/>
        </w:rPr>
        <w:t>Transizione digitale e green sono al centro dei programmi triennali di investimento delle imprese. Il 34%</w:t>
      </w:r>
      <w:r w:rsidR="00CD325D" w:rsidRPr="00CD325D">
        <w:rPr>
          <w:rFonts w:asciiTheme="minorHAnsi" w:eastAsia="Calibri" w:hAnsiTheme="minorHAnsi" w:cstheme="minorHAnsi"/>
        </w:rPr>
        <w:t xml:space="preserve"> </w:t>
      </w:r>
      <w:r w:rsidR="00CD325D" w:rsidRPr="00CD325D">
        <w:rPr>
          <w:rFonts w:asciiTheme="minorHAnsi" w:eastAsia="Calibri" w:hAnsiTheme="minorHAnsi" w:cstheme="minorHAnsi"/>
          <w:bCs/>
        </w:rPr>
        <w:t xml:space="preserve">delle aziende ha pianificato di investire in digitalizzazione tra il 2023 e il 2025, mentre il 37% punterà a realizzare investimenti in sostenibilità. Per trovare le risorse necessarie a finanziare questi progetti, il 31% delle imprese che investiranno in digitale lo farà grazie al </w:t>
      </w:r>
      <w:proofErr w:type="spellStart"/>
      <w:r w:rsidR="00CD325D" w:rsidRPr="00CD325D">
        <w:rPr>
          <w:rFonts w:asciiTheme="minorHAnsi" w:eastAsia="Calibri" w:hAnsiTheme="minorHAnsi" w:cstheme="minorHAnsi"/>
          <w:bCs/>
        </w:rPr>
        <w:t>Pnrr</w:t>
      </w:r>
      <w:proofErr w:type="spellEnd"/>
      <w:r w:rsidR="00CD325D" w:rsidRPr="00CD325D">
        <w:rPr>
          <w:rFonts w:asciiTheme="minorHAnsi" w:eastAsia="Calibri" w:hAnsiTheme="minorHAnsi" w:cstheme="minorHAnsi"/>
          <w:bCs/>
        </w:rPr>
        <w:t xml:space="preserve">, una quota che scende al 28% nel caso delle aziende che scommetteranno sul green. </w:t>
      </w:r>
      <w:r w:rsidR="00CD325D" w:rsidRPr="00CD325D">
        <w:rPr>
          <w:rFonts w:asciiTheme="minorHAnsi" w:eastAsia="Calibri" w:hAnsiTheme="minorHAnsi" w:cstheme="minorHAnsi"/>
        </w:rPr>
        <w:t xml:space="preserve">La combinazione tra investimenti 4.0 e verdi appare sempre più legata a doppio filo. Ben tre imprese su quattro dichiarano che le tecnologie abilitanti sono utili per aumentare la sostenibilità ambientale della propria attività imprenditoriale. </w:t>
      </w:r>
      <w:r w:rsidR="00CD325D" w:rsidRPr="00CD325D">
        <w:rPr>
          <w:rFonts w:asciiTheme="minorHAnsi" w:eastAsia="Calibri" w:hAnsiTheme="minorHAnsi" w:cstheme="minorHAnsi"/>
          <w:bCs/>
        </w:rPr>
        <w:t>E quando le aziende investono contemporaneamente nella doppia transizione digitale e green la loro produttività aumenta del 14%.</w:t>
      </w:r>
    </w:p>
    <w:p w14:paraId="2FD1771D" w14:textId="77777777" w:rsidR="00B4162E" w:rsidRDefault="00B4162E" w:rsidP="00CD325D">
      <w:pPr>
        <w:jc w:val="both"/>
        <w:rPr>
          <w:rFonts w:asciiTheme="minorHAnsi" w:eastAsia="Calibri" w:hAnsiTheme="minorHAnsi" w:cstheme="minorHAnsi"/>
          <w:bCs/>
        </w:rPr>
      </w:pPr>
    </w:p>
    <w:p w14:paraId="25E65158" w14:textId="6095602B" w:rsidR="00CD325D" w:rsidRPr="00345157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  <w:bCs/>
        </w:rPr>
        <w:t>È quanto evidenzia un sondaggio del</w:t>
      </w:r>
      <w:r w:rsidRPr="00CD325D">
        <w:rPr>
          <w:rFonts w:asciiTheme="minorHAnsi" w:eastAsia="Calibri" w:hAnsiTheme="minorHAnsi" w:cstheme="minorHAnsi"/>
          <w:b/>
          <w:bCs/>
        </w:rPr>
        <w:t xml:space="preserve"> Centro Studi Tagliacarne </w:t>
      </w:r>
      <w:r w:rsidRPr="00345157">
        <w:rPr>
          <w:rFonts w:asciiTheme="minorHAnsi" w:eastAsia="Calibri" w:hAnsiTheme="minorHAnsi" w:cstheme="minorHAnsi"/>
        </w:rPr>
        <w:t>svolto su un campione di 1.400 imprese</w:t>
      </w:r>
      <w:r w:rsidR="00345157">
        <w:rPr>
          <w:rFonts w:asciiTheme="minorHAnsi" w:eastAsia="Calibri" w:hAnsiTheme="minorHAnsi" w:cstheme="minorHAnsi"/>
        </w:rPr>
        <w:t>.</w:t>
      </w:r>
      <w:r w:rsidRPr="00345157">
        <w:rPr>
          <w:rFonts w:asciiTheme="minorHAnsi" w:eastAsia="Calibri" w:hAnsiTheme="minorHAnsi" w:cstheme="minorHAnsi"/>
        </w:rPr>
        <w:t xml:space="preserve"> </w:t>
      </w:r>
    </w:p>
    <w:p w14:paraId="7FBBCB99" w14:textId="77777777" w:rsidR="00B4162E" w:rsidRDefault="00B4162E" w:rsidP="00CD325D">
      <w:pPr>
        <w:jc w:val="both"/>
        <w:rPr>
          <w:rFonts w:asciiTheme="minorHAnsi" w:eastAsia="Calibri" w:hAnsiTheme="minorHAnsi" w:cstheme="minorHAnsi"/>
        </w:rPr>
      </w:pPr>
    </w:p>
    <w:p w14:paraId="0FCB68B9" w14:textId="134601B2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</w:rPr>
        <w:t xml:space="preserve">“La liquidità accumulata dalle imprese nel biennio 2020-2021 ha favorito la realizzazione degli investimenti, sia in attività materiali sia in attività intangibili come la ricerca e sviluppo, mitigando gli effetti delle restrizioni creditizie”. Lo ha sottolineato </w:t>
      </w:r>
      <w:r w:rsidRPr="00CD325D">
        <w:rPr>
          <w:rFonts w:asciiTheme="minorHAnsi" w:eastAsia="Calibri" w:hAnsiTheme="minorHAnsi" w:cstheme="minorHAnsi"/>
          <w:b/>
          <w:bCs/>
        </w:rPr>
        <w:t>Gaetano Fausto Esposito, direttore generale del Centro Studi Tagliacarne</w:t>
      </w:r>
      <w:r w:rsidRPr="00CD325D">
        <w:rPr>
          <w:rFonts w:asciiTheme="minorHAnsi" w:eastAsia="Calibri" w:hAnsiTheme="minorHAnsi" w:cstheme="minorHAnsi"/>
        </w:rPr>
        <w:t xml:space="preserve">, secondo cui “questi processi si configurano sempre più in maniera integrata: se fino ad alcuni anni fa le imprese investivano in singole attività, oggi si sta affermando una logica di mix che combina il duplice passaggio al digitale e al green ai percorsi di </w:t>
      </w:r>
      <w:proofErr w:type="spellStart"/>
      <w:r w:rsidRPr="00CD325D">
        <w:rPr>
          <w:rFonts w:asciiTheme="minorHAnsi" w:eastAsia="Calibri" w:hAnsiTheme="minorHAnsi" w:cstheme="minorHAnsi"/>
        </w:rPr>
        <w:t>upskilling</w:t>
      </w:r>
      <w:proofErr w:type="spellEnd"/>
      <w:r w:rsidRPr="00CD325D">
        <w:rPr>
          <w:rFonts w:asciiTheme="minorHAnsi" w:eastAsia="Calibri" w:hAnsiTheme="minorHAnsi" w:cstheme="minorHAnsi"/>
        </w:rPr>
        <w:t xml:space="preserve"> delle risorse umane e di crescita manageriale, vero fattore abilitante per consentire di massimizzare gli incrementi di produttività attesi dagli investimenti nelle transizioni gemelle”.</w:t>
      </w:r>
    </w:p>
    <w:p w14:paraId="097D4D30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2706E4F5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</w:rPr>
      </w:pPr>
      <w:r w:rsidRPr="00CD325D">
        <w:rPr>
          <w:rFonts w:asciiTheme="minorHAnsi" w:eastAsia="Calibri" w:hAnsiTheme="minorHAnsi" w:cstheme="minorHAnsi"/>
          <w:b/>
          <w:bCs/>
        </w:rPr>
        <w:t>Transizione: aumento efficienza muove 6 imprese su 10 ad investire in digitale</w:t>
      </w:r>
    </w:p>
    <w:p w14:paraId="4E8A5F86" w14:textId="116A4091" w:rsidR="00CD325D" w:rsidRPr="00CD325D" w:rsidRDefault="00CD325D" w:rsidP="00CD325D">
      <w:pPr>
        <w:jc w:val="both"/>
        <w:rPr>
          <w:rFonts w:asciiTheme="minorHAnsi" w:eastAsia="Calibri" w:hAnsiTheme="minorHAnsi" w:cstheme="minorHAnsi"/>
          <w:bCs/>
        </w:rPr>
      </w:pPr>
      <w:r w:rsidRPr="00CD325D">
        <w:rPr>
          <w:rFonts w:asciiTheme="minorHAnsi" w:eastAsia="Calibri" w:hAnsiTheme="minorHAnsi" w:cstheme="minorHAnsi"/>
          <w:bCs/>
        </w:rPr>
        <w:t>Sei imprese su dieci sono spinte ad acquisire tecnologie abilitanti principalmente per migliorare l’efficienza interna. A seguire quasi un quarto è motivato dalla volontà di aumentare la qualità delle produzioni</w:t>
      </w:r>
      <w:r w:rsidR="00FC469C">
        <w:rPr>
          <w:rFonts w:asciiTheme="minorHAnsi" w:eastAsia="Calibri" w:hAnsiTheme="minorHAnsi" w:cstheme="minorHAnsi"/>
          <w:bCs/>
        </w:rPr>
        <w:t xml:space="preserve"> e </w:t>
      </w:r>
      <w:r w:rsidRPr="00CD325D">
        <w:rPr>
          <w:rFonts w:asciiTheme="minorHAnsi" w:eastAsia="Calibri" w:hAnsiTheme="minorHAnsi" w:cstheme="minorHAnsi"/>
          <w:bCs/>
        </w:rPr>
        <w:t xml:space="preserve">meno del 10% dalla disponibilità di incentivi. Mentre tra le imprese che investono nel green, è preponderante l’obiettivo di riduzione dell’impatto ambientale dell’attività: a dichiararlo sono quattro aziende su dieci e, di queste, la metà si avvale anche di una figura interna dedicata proprio al controllo e monitoraggio del raggiungimento del target. </w:t>
      </w:r>
    </w:p>
    <w:p w14:paraId="2D7F6D53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Cs/>
        </w:rPr>
      </w:pPr>
    </w:p>
    <w:p w14:paraId="0C91D43C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</w:rPr>
      </w:pPr>
      <w:r w:rsidRPr="00CD325D">
        <w:rPr>
          <w:rFonts w:asciiTheme="minorHAnsi" w:eastAsia="Calibri" w:hAnsiTheme="minorHAnsi" w:cstheme="minorHAnsi"/>
          <w:b/>
        </w:rPr>
        <w:t xml:space="preserve">Tecnologie 4.0: il 24% delle imprese punta sulla robotica </w:t>
      </w:r>
    </w:p>
    <w:p w14:paraId="5187B56C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Cs/>
        </w:rPr>
      </w:pPr>
      <w:r w:rsidRPr="00CD325D">
        <w:rPr>
          <w:rFonts w:asciiTheme="minorHAnsi" w:eastAsia="Calibri" w:hAnsiTheme="minorHAnsi" w:cstheme="minorHAnsi"/>
          <w:bCs/>
        </w:rPr>
        <w:t xml:space="preserve">Tra le tecnologie 4.0 più adottate dalle realtà imprenditoriali la robotica è la più gettonata da un’impresa su quattro, esattamente il 24,1%, che investirà nella digitalizzazione, insieme alla simulazione tra macchine per ottimizzare i processi e la robotica. Seguono big data e analisi dei dati (15%), mentre, anche se ancora di modeste dimensioni, cresce l’interesse per l’intelligenza artificiale nella quale investirà nel prossimo triennio circa il 5% delle imprese contro meno dell’1% di qualche anno fa. Ma se la digitalizzazione è una leva strategia per lo sviluppo del business, tre imprese su quattro sono anche consapevoli dei rischi legati alla transizione 4.0. In particolare, il 29% teme gli attacchi informatici e il 21% ha paura di non utilizzare al meglio le tecnologie per carenza di infrastrutture tecnologiche </w:t>
      </w:r>
    </w:p>
    <w:p w14:paraId="366C2F95" w14:textId="77777777" w:rsidR="00F7105D" w:rsidRDefault="00F7105D" w:rsidP="00CD325D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5E47CFD7" w14:textId="0388E956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</w:rPr>
      </w:pPr>
      <w:r w:rsidRPr="00CD325D">
        <w:rPr>
          <w:rFonts w:asciiTheme="minorHAnsi" w:eastAsia="Calibri" w:hAnsiTheme="minorHAnsi" w:cstheme="minorHAnsi"/>
          <w:b/>
          <w:bCs/>
        </w:rPr>
        <w:t>Investimenti in doppia transizione e capitale umano mettono il “turbo” alla produttività</w:t>
      </w:r>
    </w:p>
    <w:p w14:paraId="03FD629F" w14:textId="1D90DCFC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</w:rPr>
        <w:t>La produttività sale in media del 12% quando le imprese manifatturiere investono solo nelle tecnologie digitali e dell’8% quando investono solo nel green. Ma quando si punta sulla duplice transizione l</w:t>
      </w:r>
      <w:r w:rsidR="002B4E80">
        <w:rPr>
          <w:rFonts w:asciiTheme="minorHAnsi" w:eastAsia="Calibri" w:hAnsiTheme="minorHAnsi" w:cstheme="minorHAnsi"/>
        </w:rPr>
        <w:t xml:space="preserve">’incremento di </w:t>
      </w:r>
      <w:r w:rsidRPr="00CD325D">
        <w:rPr>
          <w:rFonts w:asciiTheme="minorHAnsi" w:eastAsia="Calibri" w:hAnsiTheme="minorHAnsi" w:cstheme="minorHAnsi"/>
        </w:rPr>
        <w:t xml:space="preserve">produttività sale </w:t>
      </w:r>
      <w:r w:rsidR="002B4E80">
        <w:rPr>
          <w:rFonts w:asciiTheme="minorHAnsi" w:eastAsia="Calibri" w:hAnsiTheme="minorHAnsi" w:cstheme="minorHAnsi"/>
        </w:rPr>
        <w:t>al</w:t>
      </w:r>
      <w:r w:rsidRPr="00CD325D">
        <w:rPr>
          <w:rFonts w:asciiTheme="minorHAnsi" w:eastAsia="Calibri" w:hAnsiTheme="minorHAnsi" w:cstheme="minorHAnsi"/>
        </w:rPr>
        <w:t xml:space="preserve"> 14% e arriva al 17% quando è combinata agli investimenti in formazione del capitale umano.</w:t>
      </w:r>
    </w:p>
    <w:p w14:paraId="2ABD1660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33102596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0D7EB4A0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i/>
          <w:iCs/>
        </w:rPr>
      </w:pPr>
      <w:r w:rsidRPr="00CD325D">
        <w:rPr>
          <w:rFonts w:asciiTheme="minorHAnsi" w:eastAsia="Calibri" w:hAnsiTheme="minorHAnsi" w:cstheme="minorHAnsi"/>
          <w:b/>
          <w:bCs/>
          <w:i/>
          <w:iCs/>
        </w:rPr>
        <w:t>Imprese che investiranno nella digitalizzazione nel triennio 2023-25 (quote % sul totale imprese)</w:t>
      </w:r>
    </w:p>
    <w:p w14:paraId="50E41C64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  <w:noProof/>
        </w:rPr>
        <w:drawing>
          <wp:inline distT="0" distB="0" distL="0" distR="0" wp14:anchorId="5515B14E" wp14:editId="3C3FE3B0">
            <wp:extent cx="3755869" cy="1840675"/>
            <wp:effectExtent l="0" t="0" r="0" b="0"/>
            <wp:docPr id="1780598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A93578E4-91E7-2B89-3FA0-92D7958741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21FFFE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</w:rPr>
        <w:t>Fonte: Centro Studi Tagliacarne-Unioncamere, sondaggio 2023 su 1.400 imprese</w:t>
      </w:r>
    </w:p>
    <w:p w14:paraId="6566A10B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</w:p>
    <w:p w14:paraId="2D3D00CF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</w:p>
    <w:p w14:paraId="1854C890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</w:p>
    <w:p w14:paraId="079EFB1B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CD325D">
        <w:rPr>
          <w:rFonts w:asciiTheme="minorHAnsi" w:eastAsia="Calibri" w:hAnsiTheme="minorHAnsi" w:cstheme="minorHAnsi"/>
          <w:b/>
          <w:bCs/>
          <w:i/>
          <w:iCs/>
        </w:rPr>
        <w:t>Imprese che investono nel Green nel triennio 2023-25 (quote % sul totale imprese)</w:t>
      </w:r>
    </w:p>
    <w:p w14:paraId="7913F686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  <w:noProof/>
        </w:rPr>
        <w:drawing>
          <wp:inline distT="0" distB="0" distL="0" distR="0" wp14:anchorId="7A0EB56B" wp14:editId="2152CBF3">
            <wp:extent cx="5159828" cy="1822862"/>
            <wp:effectExtent l="0" t="0" r="0" b="0"/>
            <wp:docPr id="640356616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6873C5E5-7E3E-4990-AAA2-8E0A4C6F62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E569F8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</w:rPr>
        <w:t>Fonte: Centro Studi Tagliacarne-Unioncamere, sondaggio 2023 su 1.400 imprese</w:t>
      </w:r>
    </w:p>
    <w:p w14:paraId="351F092A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</w:rPr>
      </w:pPr>
      <w:r w:rsidRPr="00CD325D">
        <w:rPr>
          <w:rFonts w:asciiTheme="minorHAnsi" w:eastAsia="Calibri" w:hAnsiTheme="minorHAnsi" w:cstheme="minorHAnsi"/>
          <w:b/>
          <w:bCs/>
        </w:rPr>
        <w:br w:type="page"/>
      </w:r>
    </w:p>
    <w:p w14:paraId="02AF6156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1D35C1E3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CD325D">
        <w:rPr>
          <w:rFonts w:asciiTheme="minorHAnsi" w:eastAsia="Calibri" w:hAnsiTheme="minorHAnsi" w:cstheme="minorHAnsi"/>
          <w:b/>
          <w:bCs/>
          <w:i/>
          <w:iCs/>
        </w:rPr>
        <w:t>Motivazioni che spingono le imprese ad investire nella digitalizzazione (quote % sul totale imprese investitrici)</w:t>
      </w:r>
    </w:p>
    <w:p w14:paraId="325BEA4C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  <w:noProof/>
        </w:rPr>
        <w:drawing>
          <wp:inline distT="0" distB="0" distL="0" distR="0" wp14:anchorId="0066E958" wp14:editId="07129410">
            <wp:extent cx="5273238" cy="2671948"/>
            <wp:effectExtent l="0" t="0" r="0" b="0"/>
            <wp:docPr id="73652851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A6FF5B4-5E12-4C69-AC72-741CDFB1B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38455F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</w:rPr>
        <w:t>Fonte: Centro Studi Tagliacarne-Unioncamere, sondaggio 2023 su 1.400 imprese</w:t>
      </w:r>
    </w:p>
    <w:p w14:paraId="08CA063C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</w:p>
    <w:p w14:paraId="495DF287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</w:p>
    <w:p w14:paraId="342E10DE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</w:p>
    <w:p w14:paraId="6649D6BC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CD325D">
        <w:rPr>
          <w:rFonts w:asciiTheme="minorHAnsi" w:eastAsia="Calibri" w:hAnsiTheme="minorHAnsi" w:cstheme="minorHAnsi"/>
          <w:b/>
          <w:bCs/>
          <w:i/>
          <w:iCs/>
        </w:rPr>
        <w:t>Impatto sulla crescita della produttività* entro il 2024 delle imprese manifatturiere derivante dagli investimenti in tecnologie digitali, green e capitale umano: il booster della Duplice transizione unita al capitale umano</w:t>
      </w:r>
    </w:p>
    <w:p w14:paraId="39BFCC14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  <w:noProof/>
        </w:rPr>
        <w:drawing>
          <wp:inline distT="0" distB="0" distL="0" distR="0" wp14:anchorId="6EC6DB0A" wp14:editId="5DCE03CF">
            <wp:extent cx="4064668" cy="3087584"/>
            <wp:effectExtent l="0" t="0" r="0" b="0"/>
            <wp:docPr id="153592871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D6C6D7B-23E7-5092-1BE4-82A0B3BFB2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04F6AE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</w:rPr>
        <w:t>*Produttività del lavoro in termini di valore aggiunto per occupato</w:t>
      </w:r>
    </w:p>
    <w:p w14:paraId="6F783BC3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  <w:r w:rsidRPr="00CD325D">
        <w:rPr>
          <w:rFonts w:asciiTheme="minorHAnsi" w:eastAsia="Calibri" w:hAnsiTheme="minorHAnsi" w:cstheme="minorHAnsi"/>
        </w:rPr>
        <w:t>Fonte: stime Centro Studi Tagliacarne</w:t>
      </w:r>
    </w:p>
    <w:p w14:paraId="72999DC6" w14:textId="77777777" w:rsidR="00CD325D" w:rsidRPr="00CD325D" w:rsidRDefault="00CD325D" w:rsidP="00CD325D">
      <w:pPr>
        <w:jc w:val="both"/>
        <w:rPr>
          <w:rFonts w:asciiTheme="minorHAnsi" w:eastAsia="Calibri" w:hAnsiTheme="minorHAnsi" w:cstheme="minorHAnsi"/>
        </w:rPr>
      </w:pPr>
    </w:p>
    <w:p w14:paraId="796C4C6F" w14:textId="0A46B18A" w:rsidR="00EA43A6" w:rsidRPr="00682F90" w:rsidRDefault="00EA43A6" w:rsidP="00CD325D">
      <w:pPr>
        <w:jc w:val="both"/>
        <w:rPr>
          <w:i/>
          <w:iCs/>
          <w:sz w:val="16"/>
          <w:szCs w:val="16"/>
        </w:rPr>
      </w:pPr>
    </w:p>
    <w:sectPr w:rsidR="00EA43A6" w:rsidRPr="00682F90" w:rsidSect="00C734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559" w:bottom="709" w:left="1559" w:header="720" w:footer="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0F5D" w14:textId="77777777" w:rsidR="00F630D2" w:rsidRDefault="00F630D2">
      <w:r>
        <w:separator/>
      </w:r>
    </w:p>
  </w:endnote>
  <w:endnote w:type="continuationSeparator" w:id="0">
    <w:p w14:paraId="02ED5397" w14:textId="77777777" w:rsidR="00F630D2" w:rsidRDefault="00F6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Loredana Capuozzo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. 331.6098963 | </w:t>
          </w:r>
          <w:proofErr w:type="gram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email</w:t>
          </w:r>
          <w:proofErr w:type="gram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39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39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4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40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4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40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40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4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40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C91B" w14:textId="77777777" w:rsidR="00F630D2" w:rsidRDefault="00F630D2">
      <w:r>
        <w:separator/>
      </w:r>
    </w:p>
  </w:footnote>
  <w:footnote w:type="continuationSeparator" w:id="0">
    <w:p w14:paraId="0E635389" w14:textId="77777777" w:rsidR="00F630D2" w:rsidRDefault="00F6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0B8918F1">
          <wp:simplePos x="0" y="0"/>
          <wp:positionH relativeFrom="column">
            <wp:posOffset>-560070</wp:posOffset>
          </wp:positionH>
          <wp:positionV relativeFrom="paragraph">
            <wp:posOffset>-342900</wp:posOffset>
          </wp:positionV>
          <wp:extent cx="1790065" cy="41846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11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04160"/>
    <w:rsid w:val="00007514"/>
    <w:rsid w:val="00014266"/>
    <w:rsid w:val="000150EC"/>
    <w:rsid w:val="00017F49"/>
    <w:rsid w:val="00021BA9"/>
    <w:rsid w:val="000241CA"/>
    <w:rsid w:val="00041F01"/>
    <w:rsid w:val="00052D7A"/>
    <w:rsid w:val="00060FB3"/>
    <w:rsid w:val="00073C60"/>
    <w:rsid w:val="00074632"/>
    <w:rsid w:val="0008028D"/>
    <w:rsid w:val="00086C58"/>
    <w:rsid w:val="000A3E00"/>
    <w:rsid w:val="000A5176"/>
    <w:rsid w:val="000A5435"/>
    <w:rsid w:val="000A5B0D"/>
    <w:rsid w:val="000A6B8F"/>
    <w:rsid w:val="000B521A"/>
    <w:rsid w:val="000D281F"/>
    <w:rsid w:val="000D2988"/>
    <w:rsid w:val="000D48DE"/>
    <w:rsid w:val="000D56CA"/>
    <w:rsid w:val="000D6CAE"/>
    <w:rsid w:val="000E43A2"/>
    <w:rsid w:val="000E6CA7"/>
    <w:rsid w:val="000F630E"/>
    <w:rsid w:val="00102AB6"/>
    <w:rsid w:val="00104013"/>
    <w:rsid w:val="001137F9"/>
    <w:rsid w:val="00114FCA"/>
    <w:rsid w:val="00117387"/>
    <w:rsid w:val="00123825"/>
    <w:rsid w:val="00124497"/>
    <w:rsid w:val="0013729E"/>
    <w:rsid w:val="0015319D"/>
    <w:rsid w:val="00154230"/>
    <w:rsid w:val="00154B70"/>
    <w:rsid w:val="00163192"/>
    <w:rsid w:val="001713AD"/>
    <w:rsid w:val="0017236B"/>
    <w:rsid w:val="00182800"/>
    <w:rsid w:val="00186466"/>
    <w:rsid w:val="0019079C"/>
    <w:rsid w:val="00195A05"/>
    <w:rsid w:val="001A5839"/>
    <w:rsid w:val="001A642F"/>
    <w:rsid w:val="001A744C"/>
    <w:rsid w:val="001B125E"/>
    <w:rsid w:val="001B3B92"/>
    <w:rsid w:val="001B7D85"/>
    <w:rsid w:val="001C2E2D"/>
    <w:rsid w:val="001C5C61"/>
    <w:rsid w:val="001D442F"/>
    <w:rsid w:val="001D6694"/>
    <w:rsid w:val="001D7331"/>
    <w:rsid w:val="001E3C18"/>
    <w:rsid w:val="001F54C9"/>
    <w:rsid w:val="00203923"/>
    <w:rsid w:val="0021095C"/>
    <w:rsid w:val="00223FFD"/>
    <w:rsid w:val="002240F8"/>
    <w:rsid w:val="00226213"/>
    <w:rsid w:val="00227D22"/>
    <w:rsid w:val="002328BF"/>
    <w:rsid w:val="00232983"/>
    <w:rsid w:val="00236D16"/>
    <w:rsid w:val="00245546"/>
    <w:rsid w:val="00247134"/>
    <w:rsid w:val="0024740F"/>
    <w:rsid w:val="00266351"/>
    <w:rsid w:val="002672E8"/>
    <w:rsid w:val="00272F3D"/>
    <w:rsid w:val="00282AEC"/>
    <w:rsid w:val="002A1AAE"/>
    <w:rsid w:val="002A6DEE"/>
    <w:rsid w:val="002B2C3D"/>
    <w:rsid w:val="002B3B83"/>
    <w:rsid w:val="002B498E"/>
    <w:rsid w:val="002B4AD4"/>
    <w:rsid w:val="002B4E80"/>
    <w:rsid w:val="002C11ED"/>
    <w:rsid w:val="002C12E1"/>
    <w:rsid w:val="002C12F4"/>
    <w:rsid w:val="002C3D79"/>
    <w:rsid w:val="002D6AE9"/>
    <w:rsid w:val="002D7381"/>
    <w:rsid w:val="002E240E"/>
    <w:rsid w:val="002E332D"/>
    <w:rsid w:val="002E6EA2"/>
    <w:rsid w:val="003050C5"/>
    <w:rsid w:val="00310FDF"/>
    <w:rsid w:val="00311498"/>
    <w:rsid w:val="003169EF"/>
    <w:rsid w:val="00321FAF"/>
    <w:rsid w:val="00322979"/>
    <w:rsid w:val="00325789"/>
    <w:rsid w:val="00330160"/>
    <w:rsid w:val="00334886"/>
    <w:rsid w:val="003378AA"/>
    <w:rsid w:val="00345157"/>
    <w:rsid w:val="00352F59"/>
    <w:rsid w:val="00353738"/>
    <w:rsid w:val="00356C6E"/>
    <w:rsid w:val="00362423"/>
    <w:rsid w:val="003625E5"/>
    <w:rsid w:val="00370F66"/>
    <w:rsid w:val="00381DCF"/>
    <w:rsid w:val="00384A84"/>
    <w:rsid w:val="0038592F"/>
    <w:rsid w:val="003903AE"/>
    <w:rsid w:val="00394702"/>
    <w:rsid w:val="003958E0"/>
    <w:rsid w:val="003A22A6"/>
    <w:rsid w:val="003B133C"/>
    <w:rsid w:val="003B2BB1"/>
    <w:rsid w:val="003C76F8"/>
    <w:rsid w:val="003D29EE"/>
    <w:rsid w:val="003E45FF"/>
    <w:rsid w:val="003F5A52"/>
    <w:rsid w:val="003F5B4D"/>
    <w:rsid w:val="003F7CF4"/>
    <w:rsid w:val="003F7FDF"/>
    <w:rsid w:val="00400448"/>
    <w:rsid w:val="004012A3"/>
    <w:rsid w:val="00402F22"/>
    <w:rsid w:val="004042FE"/>
    <w:rsid w:val="004069F0"/>
    <w:rsid w:val="004213F1"/>
    <w:rsid w:val="00424B92"/>
    <w:rsid w:val="0042598D"/>
    <w:rsid w:val="00425CDE"/>
    <w:rsid w:val="00431F85"/>
    <w:rsid w:val="004436E7"/>
    <w:rsid w:val="00446305"/>
    <w:rsid w:val="00447C70"/>
    <w:rsid w:val="00453F63"/>
    <w:rsid w:val="004555A2"/>
    <w:rsid w:val="00455CF8"/>
    <w:rsid w:val="00457E7B"/>
    <w:rsid w:val="004631C5"/>
    <w:rsid w:val="004634F6"/>
    <w:rsid w:val="00467E76"/>
    <w:rsid w:val="00474EE2"/>
    <w:rsid w:val="00475FE7"/>
    <w:rsid w:val="00476CE7"/>
    <w:rsid w:val="00480780"/>
    <w:rsid w:val="00486BD6"/>
    <w:rsid w:val="0048799C"/>
    <w:rsid w:val="00495148"/>
    <w:rsid w:val="004A0507"/>
    <w:rsid w:val="004B54E1"/>
    <w:rsid w:val="004B6276"/>
    <w:rsid w:val="004D0284"/>
    <w:rsid w:val="004F16CD"/>
    <w:rsid w:val="00505937"/>
    <w:rsid w:val="00506CDB"/>
    <w:rsid w:val="005073B3"/>
    <w:rsid w:val="00513E97"/>
    <w:rsid w:val="0051680E"/>
    <w:rsid w:val="0052022F"/>
    <w:rsid w:val="005206F0"/>
    <w:rsid w:val="005370AC"/>
    <w:rsid w:val="005536ED"/>
    <w:rsid w:val="00562BE7"/>
    <w:rsid w:val="00563D3C"/>
    <w:rsid w:val="00571A94"/>
    <w:rsid w:val="00571EB6"/>
    <w:rsid w:val="00577541"/>
    <w:rsid w:val="00581F14"/>
    <w:rsid w:val="0059138E"/>
    <w:rsid w:val="005938E6"/>
    <w:rsid w:val="00594414"/>
    <w:rsid w:val="005976AA"/>
    <w:rsid w:val="005A277A"/>
    <w:rsid w:val="005A3541"/>
    <w:rsid w:val="005A3679"/>
    <w:rsid w:val="005B0033"/>
    <w:rsid w:val="005B10A2"/>
    <w:rsid w:val="005B64B6"/>
    <w:rsid w:val="005C1B10"/>
    <w:rsid w:val="005C2321"/>
    <w:rsid w:val="005C38BC"/>
    <w:rsid w:val="005C467C"/>
    <w:rsid w:val="005D2107"/>
    <w:rsid w:val="005D5956"/>
    <w:rsid w:val="005E33C9"/>
    <w:rsid w:val="005E4790"/>
    <w:rsid w:val="006032BE"/>
    <w:rsid w:val="00606EA1"/>
    <w:rsid w:val="00617B53"/>
    <w:rsid w:val="006303DB"/>
    <w:rsid w:val="00630C5A"/>
    <w:rsid w:val="00630E2F"/>
    <w:rsid w:val="006466D9"/>
    <w:rsid w:val="0064710D"/>
    <w:rsid w:val="006529D5"/>
    <w:rsid w:val="006621C2"/>
    <w:rsid w:val="0066626C"/>
    <w:rsid w:val="00666A51"/>
    <w:rsid w:val="00673E41"/>
    <w:rsid w:val="00675844"/>
    <w:rsid w:val="00677FFB"/>
    <w:rsid w:val="00680494"/>
    <w:rsid w:val="006809D1"/>
    <w:rsid w:val="00682B6D"/>
    <w:rsid w:val="00682F90"/>
    <w:rsid w:val="006924D4"/>
    <w:rsid w:val="006A0781"/>
    <w:rsid w:val="006A6D59"/>
    <w:rsid w:val="006B5B87"/>
    <w:rsid w:val="006C2058"/>
    <w:rsid w:val="006D507F"/>
    <w:rsid w:val="006D6AC3"/>
    <w:rsid w:val="006D736F"/>
    <w:rsid w:val="006E1F8D"/>
    <w:rsid w:val="006E5B79"/>
    <w:rsid w:val="006E60E9"/>
    <w:rsid w:val="006F1DFE"/>
    <w:rsid w:val="006F3742"/>
    <w:rsid w:val="00707873"/>
    <w:rsid w:val="007100E3"/>
    <w:rsid w:val="0071404A"/>
    <w:rsid w:val="00720421"/>
    <w:rsid w:val="00724A4E"/>
    <w:rsid w:val="00730427"/>
    <w:rsid w:val="00734433"/>
    <w:rsid w:val="00747179"/>
    <w:rsid w:val="00747256"/>
    <w:rsid w:val="00753EF9"/>
    <w:rsid w:val="00757F38"/>
    <w:rsid w:val="00762202"/>
    <w:rsid w:val="00762250"/>
    <w:rsid w:val="0076296A"/>
    <w:rsid w:val="00762A11"/>
    <w:rsid w:val="00766A11"/>
    <w:rsid w:val="00767E28"/>
    <w:rsid w:val="00771352"/>
    <w:rsid w:val="0077177D"/>
    <w:rsid w:val="00771ECC"/>
    <w:rsid w:val="007733EA"/>
    <w:rsid w:val="00776558"/>
    <w:rsid w:val="00781425"/>
    <w:rsid w:val="00784C66"/>
    <w:rsid w:val="0079023B"/>
    <w:rsid w:val="00791EDE"/>
    <w:rsid w:val="00796637"/>
    <w:rsid w:val="007976B9"/>
    <w:rsid w:val="007A0A2E"/>
    <w:rsid w:val="007A5FC6"/>
    <w:rsid w:val="007B66FC"/>
    <w:rsid w:val="007D252A"/>
    <w:rsid w:val="007D7F85"/>
    <w:rsid w:val="007E1F83"/>
    <w:rsid w:val="007E61CE"/>
    <w:rsid w:val="007F194A"/>
    <w:rsid w:val="007F4418"/>
    <w:rsid w:val="00803C78"/>
    <w:rsid w:val="008046A5"/>
    <w:rsid w:val="00804DCE"/>
    <w:rsid w:val="00805812"/>
    <w:rsid w:val="00807441"/>
    <w:rsid w:val="008105C0"/>
    <w:rsid w:val="008111ED"/>
    <w:rsid w:val="00815E25"/>
    <w:rsid w:val="00820D90"/>
    <w:rsid w:val="00822143"/>
    <w:rsid w:val="0082400B"/>
    <w:rsid w:val="00826C98"/>
    <w:rsid w:val="0083111F"/>
    <w:rsid w:val="008376DA"/>
    <w:rsid w:val="0084211B"/>
    <w:rsid w:val="008457A8"/>
    <w:rsid w:val="00855470"/>
    <w:rsid w:val="008557C3"/>
    <w:rsid w:val="00857179"/>
    <w:rsid w:val="0085760E"/>
    <w:rsid w:val="00860637"/>
    <w:rsid w:val="00861E2A"/>
    <w:rsid w:val="0086208B"/>
    <w:rsid w:val="00863978"/>
    <w:rsid w:val="008847F6"/>
    <w:rsid w:val="00887877"/>
    <w:rsid w:val="00896AEF"/>
    <w:rsid w:val="00897B50"/>
    <w:rsid w:val="008A37BF"/>
    <w:rsid w:val="008B2350"/>
    <w:rsid w:val="008C6987"/>
    <w:rsid w:val="008D3316"/>
    <w:rsid w:val="008D4A4A"/>
    <w:rsid w:val="008D59D6"/>
    <w:rsid w:val="008E361F"/>
    <w:rsid w:val="008E5B2C"/>
    <w:rsid w:val="008F1334"/>
    <w:rsid w:val="008F529B"/>
    <w:rsid w:val="008F5FBD"/>
    <w:rsid w:val="00902005"/>
    <w:rsid w:val="00905512"/>
    <w:rsid w:val="0093082D"/>
    <w:rsid w:val="00936D09"/>
    <w:rsid w:val="0094562C"/>
    <w:rsid w:val="00951740"/>
    <w:rsid w:val="00955D52"/>
    <w:rsid w:val="00956BC9"/>
    <w:rsid w:val="009575A7"/>
    <w:rsid w:val="00966FE0"/>
    <w:rsid w:val="00972954"/>
    <w:rsid w:val="00982C21"/>
    <w:rsid w:val="009A4AAD"/>
    <w:rsid w:val="009B3BEE"/>
    <w:rsid w:val="009C0A8C"/>
    <w:rsid w:val="009C761D"/>
    <w:rsid w:val="009D72A8"/>
    <w:rsid w:val="009E2CEC"/>
    <w:rsid w:val="009E38A6"/>
    <w:rsid w:val="009E575B"/>
    <w:rsid w:val="009E786F"/>
    <w:rsid w:val="009F510B"/>
    <w:rsid w:val="00A02A56"/>
    <w:rsid w:val="00A02C12"/>
    <w:rsid w:val="00A0303F"/>
    <w:rsid w:val="00A03313"/>
    <w:rsid w:val="00A1607A"/>
    <w:rsid w:val="00A2184E"/>
    <w:rsid w:val="00A26121"/>
    <w:rsid w:val="00A34D2F"/>
    <w:rsid w:val="00A37D8C"/>
    <w:rsid w:val="00A40865"/>
    <w:rsid w:val="00A5381A"/>
    <w:rsid w:val="00A55813"/>
    <w:rsid w:val="00A56EA3"/>
    <w:rsid w:val="00A627AD"/>
    <w:rsid w:val="00A6511C"/>
    <w:rsid w:val="00A77D69"/>
    <w:rsid w:val="00A83EB1"/>
    <w:rsid w:val="00A95C1D"/>
    <w:rsid w:val="00AA0363"/>
    <w:rsid w:val="00AA1F0A"/>
    <w:rsid w:val="00AA41B0"/>
    <w:rsid w:val="00AD17C1"/>
    <w:rsid w:val="00AD195C"/>
    <w:rsid w:val="00AD338F"/>
    <w:rsid w:val="00AD3A04"/>
    <w:rsid w:val="00AD7683"/>
    <w:rsid w:val="00AE331F"/>
    <w:rsid w:val="00AF012D"/>
    <w:rsid w:val="00AF4E55"/>
    <w:rsid w:val="00B01FD1"/>
    <w:rsid w:val="00B027E4"/>
    <w:rsid w:val="00B07943"/>
    <w:rsid w:val="00B10E6C"/>
    <w:rsid w:val="00B15AB5"/>
    <w:rsid w:val="00B15D43"/>
    <w:rsid w:val="00B17C7D"/>
    <w:rsid w:val="00B2082F"/>
    <w:rsid w:val="00B24A15"/>
    <w:rsid w:val="00B27D97"/>
    <w:rsid w:val="00B4162E"/>
    <w:rsid w:val="00B43F85"/>
    <w:rsid w:val="00B5066A"/>
    <w:rsid w:val="00B51011"/>
    <w:rsid w:val="00B513BF"/>
    <w:rsid w:val="00B628D0"/>
    <w:rsid w:val="00B66A2B"/>
    <w:rsid w:val="00B8001F"/>
    <w:rsid w:val="00B81811"/>
    <w:rsid w:val="00B8249D"/>
    <w:rsid w:val="00B82D16"/>
    <w:rsid w:val="00B83CA7"/>
    <w:rsid w:val="00B845AD"/>
    <w:rsid w:val="00B90A22"/>
    <w:rsid w:val="00B923B8"/>
    <w:rsid w:val="00BA52C0"/>
    <w:rsid w:val="00BA7EB4"/>
    <w:rsid w:val="00BB1F4B"/>
    <w:rsid w:val="00BB4F45"/>
    <w:rsid w:val="00BB56E1"/>
    <w:rsid w:val="00BB6CCA"/>
    <w:rsid w:val="00BC0748"/>
    <w:rsid w:val="00BC2754"/>
    <w:rsid w:val="00BC509A"/>
    <w:rsid w:val="00BD087F"/>
    <w:rsid w:val="00BD2481"/>
    <w:rsid w:val="00BD6893"/>
    <w:rsid w:val="00BD730E"/>
    <w:rsid w:val="00BE06B8"/>
    <w:rsid w:val="00BF00F0"/>
    <w:rsid w:val="00BF3BFF"/>
    <w:rsid w:val="00BF5595"/>
    <w:rsid w:val="00BF6881"/>
    <w:rsid w:val="00C0176E"/>
    <w:rsid w:val="00C055F2"/>
    <w:rsid w:val="00C110D6"/>
    <w:rsid w:val="00C14606"/>
    <w:rsid w:val="00C14735"/>
    <w:rsid w:val="00C21BC1"/>
    <w:rsid w:val="00C259A8"/>
    <w:rsid w:val="00C26483"/>
    <w:rsid w:val="00C27999"/>
    <w:rsid w:val="00C32823"/>
    <w:rsid w:val="00C461DE"/>
    <w:rsid w:val="00C5246C"/>
    <w:rsid w:val="00C53C95"/>
    <w:rsid w:val="00C560F4"/>
    <w:rsid w:val="00C67045"/>
    <w:rsid w:val="00C719F0"/>
    <w:rsid w:val="00C7349E"/>
    <w:rsid w:val="00C74382"/>
    <w:rsid w:val="00C77275"/>
    <w:rsid w:val="00C84F06"/>
    <w:rsid w:val="00C85372"/>
    <w:rsid w:val="00C924A6"/>
    <w:rsid w:val="00CA46D7"/>
    <w:rsid w:val="00CA4E05"/>
    <w:rsid w:val="00CA6160"/>
    <w:rsid w:val="00CB4092"/>
    <w:rsid w:val="00CB4125"/>
    <w:rsid w:val="00CB794D"/>
    <w:rsid w:val="00CC5967"/>
    <w:rsid w:val="00CC6326"/>
    <w:rsid w:val="00CC77BF"/>
    <w:rsid w:val="00CC7DA6"/>
    <w:rsid w:val="00CD325D"/>
    <w:rsid w:val="00CD60E1"/>
    <w:rsid w:val="00CE07DA"/>
    <w:rsid w:val="00CE3EE5"/>
    <w:rsid w:val="00CF1CE1"/>
    <w:rsid w:val="00CF7F94"/>
    <w:rsid w:val="00D00C3F"/>
    <w:rsid w:val="00D02144"/>
    <w:rsid w:val="00D1118B"/>
    <w:rsid w:val="00D11523"/>
    <w:rsid w:val="00D1453E"/>
    <w:rsid w:val="00D35B9C"/>
    <w:rsid w:val="00D4181D"/>
    <w:rsid w:val="00D43585"/>
    <w:rsid w:val="00D501A5"/>
    <w:rsid w:val="00D50D61"/>
    <w:rsid w:val="00D5208D"/>
    <w:rsid w:val="00D54FC7"/>
    <w:rsid w:val="00D635B9"/>
    <w:rsid w:val="00D747CE"/>
    <w:rsid w:val="00D850FC"/>
    <w:rsid w:val="00D858D7"/>
    <w:rsid w:val="00D93EB1"/>
    <w:rsid w:val="00D9470C"/>
    <w:rsid w:val="00D953A7"/>
    <w:rsid w:val="00DA03D6"/>
    <w:rsid w:val="00DA0C9F"/>
    <w:rsid w:val="00DB2731"/>
    <w:rsid w:val="00DB3B64"/>
    <w:rsid w:val="00DC7DF0"/>
    <w:rsid w:val="00DD01DC"/>
    <w:rsid w:val="00DD421C"/>
    <w:rsid w:val="00DD51F2"/>
    <w:rsid w:val="00DE1F9D"/>
    <w:rsid w:val="00DF0E96"/>
    <w:rsid w:val="00DF44A4"/>
    <w:rsid w:val="00E04959"/>
    <w:rsid w:val="00E06982"/>
    <w:rsid w:val="00E07FF1"/>
    <w:rsid w:val="00E12742"/>
    <w:rsid w:val="00E17497"/>
    <w:rsid w:val="00E21869"/>
    <w:rsid w:val="00E32BAA"/>
    <w:rsid w:val="00E47EFF"/>
    <w:rsid w:val="00E53642"/>
    <w:rsid w:val="00E5450F"/>
    <w:rsid w:val="00E57D01"/>
    <w:rsid w:val="00E64907"/>
    <w:rsid w:val="00E739AD"/>
    <w:rsid w:val="00E74047"/>
    <w:rsid w:val="00E80576"/>
    <w:rsid w:val="00E81655"/>
    <w:rsid w:val="00E84DF8"/>
    <w:rsid w:val="00E85EAF"/>
    <w:rsid w:val="00E94256"/>
    <w:rsid w:val="00E942FD"/>
    <w:rsid w:val="00EA12B7"/>
    <w:rsid w:val="00EA1C69"/>
    <w:rsid w:val="00EA21CA"/>
    <w:rsid w:val="00EA292C"/>
    <w:rsid w:val="00EA43A6"/>
    <w:rsid w:val="00ED3E57"/>
    <w:rsid w:val="00EE034A"/>
    <w:rsid w:val="00EE4780"/>
    <w:rsid w:val="00EF0541"/>
    <w:rsid w:val="00EF0CE3"/>
    <w:rsid w:val="00EF0EEA"/>
    <w:rsid w:val="00EF3C29"/>
    <w:rsid w:val="00F00AC2"/>
    <w:rsid w:val="00F120CC"/>
    <w:rsid w:val="00F134D5"/>
    <w:rsid w:val="00F13A78"/>
    <w:rsid w:val="00F202DB"/>
    <w:rsid w:val="00F25C75"/>
    <w:rsid w:val="00F32A86"/>
    <w:rsid w:val="00F35CD9"/>
    <w:rsid w:val="00F368CB"/>
    <w:rsid w:val="00F51B1F"/>
    <w:rsid w:val="00F52CEB"/>
    <w:rsid w:val="00F5467B"/>
    <w:rsid w:val="00F563BE"/>
    <w:rsid w:val="00F60F37"/>
    <w:rsid w:val="00F630D2"/>
    <w:rsid w:val="00F64CA7"/>
    <w:rsid w:val="00F7105D"/>
    <w:rsid w:val="00F71E5E"/>
    <w:rsid w:val="00F720B9"/>
    <w:rsid w:val="00F81ACD"/>
    <w:rsid w:val="00F81CA6"/>
    <w:rsid w:val="00F92961"/>
    <w:rsid w:val="00FA0CEA"/>
    <w:rsid w:val="00FB276B"/>
    <w:rsid w:val="00FB2D45"/>
    <w:rsid w:val="00FB35F6"/>
    <w:rsid w:val="00FB5393"/>
    <w:rsid w:val="00FC0937"/>
    <w:rsid w:val="00FC10CD"/>
    <w:rsid w:val="00FC20E4"/>
    <w:rsid w:val="00FC469C"/>
    <w:rsid w:val="00FC551D"/>
    <w:rsid w:val="00FE21FC"/>
    <w:rsid w:val="00FF5471"/>
    <w:rsid w:val="00FF572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98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987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E36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36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361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6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Ricerca\Digitale_da_DossierAssembleaUC2023\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Ricerca\Digitale_da_DossierAssembleaUC2023\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Ricerca\Digitale_da_DossierAssembleaUC2023\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Ricerca\Digitale_da_DossierAssembleaUC2023\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46-4CFD-A6CE-886E3C40CA27}"/>
              </c:ext>
            </c:extLst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46-4CFD-A6CE-886E3C40CA2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F46-4CFD-A6CE-886E3C40CA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Digital!$B$3:$B$4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Digital!$C$3:$C$4</c:f>
              <c:numCache>
                <c:formatCode>0%</c:formatCode>
                <c:ptCount val="2"/>
                <c:pt idx="0">
                  <c:v>0.34299999999999997</c:v>
                </c:pt>
                <c:pt idx="1">
                  <c:v>0.65700000000000003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46-4CFD-A6CE-886E3C40CA2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010204724409447"/>
          <c:y val="7.6655052264808357E-2"/>
          <c:w val="0.25948821320411869"/>
          <c:h val="0.7346138440012072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36-4196-8AB0-AF7FAAF39E3E}"/>
              </c:ext>
            </c:extLst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36-4196-8AB0-AF7FAAF39E3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F36-4196-8AB0-AF7FAAF39E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Digital!$B$7:$B$8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Digital!$C$7:$C$8</c:f>
              <c:numCache>
                <c:formatCode>0%</c:formatCode>
                <c:ptCount val="2"/>
                <c:pt idx="0">
                  <c:v>0.37229863408132102</c:v>
                </c:pt>
                <c:pt idx="1">
                  <c:v>0.62770136591867898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36-4196-8AB0-AF7FAAF39E3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184244876423179"/>
          <c:y val="5.0925925925925923E-2"/>
          <c:w val="0.46039728083462322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Digital!$F$17:$F$22</c:f>
              <c:strCache>
                <c:ptCount val="6"/>
                <c:pt idx="0">
                  <c:v>Altro</c:v>
                </c:pt>
                <c:pt idx="1">
                  <c:v>Per rispondere a esigenze di fornitori, committenti e consumatori finali</c:v>
                </c:pt>
                <c:pt idx="2">
                  <c:v>Per aumentare l'efficienza nei rapporti con i fornitori</c:v>
                </c:pt>
                <c:pt idx="3">
                  <c:v>Per sfuttare la disponibilità di incentivi</c:v>
                </c:pt>
                <c:pt idx="4">
                  <c:v>Per aumentare la qualità delle produzioni</c:v>
                </c:pt>
                <c:pt idx="5">
                  <c:v>Per aumentare l'efficienza interna e/o ridurre i costi</c:v>
                </c:pt>
              </c:strCache>
            </c:strRef>
          </c:cat>
          <c:val>
            <c:numRef>
              <c:f>Digital!$H$17:$H$22</c:f>
              <c:numCache>
                <c:formatCode>0%</c:formatCode>
                <c:ptCount val="6"/>
                <c:pt idx="0">
                  <c:v>1.8000000000000002E-2</c:v>
                </c:pt>
                <c:pt idx="1">
                  <c:v>3.9E-2</c:v>
                </c:pt>
                <c:pt idx="2">
                  <c:v>5.4000000000000006E-2</c:v>
                </c:pt>
                <c:pt idx="3">
                  <c:v>7.8E-2</c:v>
                </c:pt>
                <c:pt idx="4">
                  <c:v>0.22</c:v>
                </c:pt>
                <c:pt idx="5">
                  <c:v>0.59099999999999997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A-4AD0-BD2F-ADB655A93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1737208"/>
        <c:axId val="411738520"/>
      </c:barChart>
      <c:catAx>
        <c:axId val="411737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11738520"/>
        <c:crosses val="autoZero"/>
        <c:auto val="1"/>
        <c:lblAlgn val="ctr"/>
        <c:lblOffset val="100"/>
        <c:noMultiLvlLbl val="0"/>
      </c:catAx>
      <c:valAx>
        <c:axId val="4117385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11737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342-4695-9B46-24FC8AB82392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342-4695-9B46-24FC8AB82392}"/>
              </c:ext>
            </c:extLst>
          </c:dPt>
          <c:dPt>
            <c:idx val="2"/>
            <c:invertIfNegative val="0"/>
            <c:bubble3D val="0"/>
            <c:spPr>
              <a:gradFill flip="none" rotWithShape="1">
                <a:gsLst>
                  <a:gs pos="35000">
                    <a:schemeClr val="accent6">
                      <a:lumMod val="60000"/>
                      <a:lumOff val="40000"/>
                    </a:schemeClr>
                  </a:gs>
                  <a:gs pos="0">
                    <a:srgbClr val="92D050"/>
                  </a:gs>
                  <a:gs pos="73000">
                    <a:srgbClr val="00B0F0"/>
                  </a:gs>
                  <a:gs pos="95000">
                    <a:srgbClr val="0070C0"/>
                  </a:gs>
                  <a:gs pos="100000">
                    <a:srgbClr val="0070C0"/>
                  </a:gs>
                </a:gsLst>
                <a:lin ang="270000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342-4695-9B46-24FC8AB823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Digital!$B$54:$B$57</c:f>
              <c:strCache>
                <c:ptCount val="4"/>
                <c:pt idx="0">
                  <c:v>Solo traniszione green</c:v>
                </c:pt>
                <c:pt idx="1">
                  <c:v>Solo transizione digitale</c:v>
                </c:pt>
                <c:pt idx="2">
                  <c:v>Duplice transizione (Digitale&amp;Green)</c:v>
                </c:pt>
                <c:pt idx="3">
                  <c:v>Duplice transizione e investimenti nel capitale umano</c:v>
                </c:pt>
              </c:strCache>
            </c:strRef>
          </c:cat>
          <c:val>
            <c:numRef>
              <c:f>Digital!$C$54:$C$57</c:f>
              <c:numCache>
                <c:formatCode>0%</c:formatCode>
                <c:ptCount val="4"/>
                <c:pt idx="0">
                  <c:v>0.08</c:v>
                </c:pt>
                <c:pt idx="1">
                  <c:v>0.12</c:v>
                </c:pt>
                <c:pt idx="2">
                  <c:v>0.14000000000000001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42-4695-9B46-24FC8AB823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84961056"/>
        <c:axId val="1684962016"/>
      </c:barChart>
      <c:catAx>
        <c:axId val="168496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4962016"/>
        <c:crosses val="autoZero"/>
        <c:auto val="1"/>
        <c:lblAlgn val="ctr"/>
        <c:lblOffset val="100"/>
        <c:noMultiLvlLbl val="0"/>
      </c:catAx>
      <c:valAx>
        <c:axId val="168496201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68496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10</cp:revision>
  <cp:lastPrinted>2023-06-19T08:11:00Z</cp:lastPrinted>
  <dcterms:created xsi:type="dcterms:W3CDTF">2023-06-07T10:05:00Z</dcterms:created>
  <dcterms:modified xsi:type="dcterms:W3CDTF">2023-06-19T08:51:00Z</dcterms:modified>
</cp:coreProperties>
</file>