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3F61" w14:textId="77777777" w:rsidR="00C333B6" w:rsidRPr="00DA2B42" w:rsidRDefault="00E65CD7" w:rsidP="00DA2B42">
      <w:pPr>
        <w:pStyle w:val="mbtes01"/>
        <w:spacing w:line="240" w:lineRule="auto"/>
        <w:jc w:val="center"/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</w:pPr>
      <w:r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 xml:space="preserve">Medie imprese italiane: </w:t>
      </w:r>
    </w:p>
    <w:p w14:paraId="185151FE" w14:textId="01EFB78F" w:rsidR="00291FC6" w:rsidRPr="00DA2B42" w:rsidRDefault="000D564E" w:rsidP="00033408">
      <w:pPr>
        <w:pStyle w:val="mbtes01"/>
        <w:spacing w:after="240" w:line="240" w:lineRule="auto"/>
        <w:jc w:val="center"/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</w:pPr>
      <w:r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>C</w:t>
      </w:r>
      <w:r w:rsidR="00B76874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 xml:space="preserve">apitale </w:t>
      </w:r>
      <w:r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>U</w:t>
      </w:r>
      <w:r w:rsidR="00B76874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 xml:space="preserve">mano </w:t>
      </w:r>
      <w:r w:rsidR="007425EC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>‘</w:t>
      </w:r>
      <w:r w:rsidR="00B76874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>fattore chiave</w:t>
      </w:r>
      <w:r w:rsidR="007425EC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>’</w:t>
      </w:r>
      <w:r w:rsidR="00B76874" w:rsidRPr="00DA2B42">
        <w:rPr>
          <w:rFonts w:ascii="Baskerville Old Face" w:hAnsi="Baskerville Old Face"/>
          <w:b/>
          <w:bCs/>
          <w:smallCaps/>
          <w:color w:val="003366"/>
          <w:sz w:val="32"/>
          <w:szCs w:val="32"/>
        </w:rPr>
        <w:t xml:space="preserve"> per la competitività</w:t>
      </w:r>
    </w:p>
    <w:p w14:paraId="19091B32" w14:textId="038B7BB3" w:rsidR="006B530F" w:rsidRDefault="006B530F" w:rsidP="00DA2B42">
      <w:pPr>
        <w:pStyle w:val="Testonormale"/>
        <w:spacing w:before="120" w:after="120"/>
        <w:jc w:val="center"/>
        <w:rPr>
          <w:rFonts w:ascii="Century Gothic" w:hAnsi="Century Gothic"/>
          <w:i/>
          <w:iCs/>
          <w:sz w:val="19"/>
          <w:szCs w:val="19"/>
        </w:rPr>
      </w:pPr>
      <w:r w:rsidRPr="00DA2B42">
        <w:rPr>
          <w:rFonts w:ascii="Century Gothic" w:hAnsi="Century Gothic"/>
          <w:i/>
          <w:iCs/>
          <w:sz w:val="19"/>
          <w:szCs w:val="19"/>
        </w:rPr>
        <w:t>Fatturato</w:t>
      </w:r>
      <w:r w:rsidR="00B7456A" w:rsidRPr="00DA2B42">
        <w:rPr>
          <w:rFonts w:ascii="Century Gothic" w:hAnsi="Century Gothic"/>
          <w:i/>
          <w:iCs/>
          <w:sz w:val="19"/>
          <w:szCs w:val="19"/>
        </w:rPr>
        <w:t xml:space="preserve"> </w:t>
      </w:r>
      <w:r w:rsidRPr="00DA2B42">
        <w:rPr>
          <w:rFonts w:ascii="Century Gothic" w:hAnsi="Century Gothic"/>
          <w:i/>
          <w:iCs/>
          <w:sz w:val="19"/>
          <w:szCs w:val="19"/>
        </w:rPr>
        <w:t xml:space="preserve">in crescita </w:t>
      </w:r>
      <w:r w:rsidR="00CE7A2D">
        <w:rPr>
          <w:rFonts w:ascii="Century Gothic" w:hAnsi="Century Gothic"/>
          <w:i/>
          <w:iCs/>
          <w:sz w:val="19"/>
          <w:szCs w:val="19"/>
        </w:rPr>
        <w:t xml:space="preserve">anche </w:t>
      </w:r>
      <w:r w:rsidR="00F272EB" w:rsidRPr="00DA2B42">
        <w:rPr>
          <w:rFonts w:ascii="Century Gothic" w:hAnsi="Century Gothic"/>
          <w:i/>
          <w:iCs/>
          <w:sz w:val="19"/>
          <w:szCs w:val="19"/>
        </w:rPr>
        <w:t>nel 202</w:t>
      </w:r>
      <w:r w:rsidR="00B76874" w:rsidRPr="00DA2B42">
        <w:rPr>
          <w:rFonts w:ascii="Century Gothic" w:hAnsi="Century Gothic"/>
          <w:i/>
          <w:iCs/>
          <w:sz w:val="19"/>
          <w:szCs w:val="19"/>
        </w:rPr>
        <w:t>3</w:t>
      </w:r>
      <w:r w:rsidR="00AA7FD7">
        <w:rPr>
          <w:rFonts w:ascii="Century Gothic" w:hAnsi="Century Gothic"/>
          <w:i/>
          <w:iCs/>
          <w:sz w:val="19"/>
          <w:szCs w:val="19"/>
        </w:rPr>
        <w:t xml:space="preserve">, </w:t>
      </w:r>
      <w:r w:rsidR="005717E7">
        <w:rPr>
          <w:rFonts w:ascii="Century Gothic" w:hAnsi="Century Gothic"/>
          <w:i/>
          <w:iCs/>
          <w:sz w:val="19"/>
          <w:szCs w:val="19"/>
        </w:rPr>
        <w:t xml:space="preserve">con </w:t>
      </w:r>
      <w:r w:rsidR="00AA7FD7">
        <w:rPr>
          <w:rFonts w:ascii="Century Gothic" w:hAnsi="Century Gothic"/>
          <w:i/>
          <w:iCs/>
          <w:sz w:val="19"/>
          <w:szCs w:val="19"/>
        </w:rPr>
        <w:t>una previsione del</w:t>
      </w:r>
      <w:r w:rsidR="00F272EB" w:rsidRPr="00DA2B42">
        <w:rPr>
          <w:rFonts w:ascii="Century Gothic" w:hAnsi="Century Gothic"/>
          <w:i/>
          <w:iCs/>
          <w:sz w:val="19"/>
          <w:szCs w:val="19"/>
        </w:rPr>
        <w:t xml:space="preserve"> +</w:t>
      </w:r>
      <w:r w:rsidR="00B76874" w:rsidRPr="00DA2B42">
        <w:rPr>
          <w:rFonts w:ascii="Century Gothic" w:hAnsi="Century Gothic"/>
          <w:i/>
          <w:iCs/>
          <w:sz w:val="19"/>
          <w:szCs w:val="19"/>
        </w:rPr>
        <w:t>3,5</w:t>
      </w:r>
      <w:r w:rsidR="00F272EB" w:rsidRPr="00DA2B42">
        <w:rPr>
          <w:rFonts w:ascii="Century Gothic" w:hAnsi="Century Gothic"/>
          <w:i/>
          <w:iCs/>
          <w:sz w:val="19"/>
          <w:szCs w:val="19"/>
        </w:rPr>
        <w:t>%</w:t>
      </w:r>
    </w:p>
    <w:p w14:paraId="0D650A3D" w14:textId="1F6D9998" w:rsidR="00CC45BE" w:rsidRDefault="00BA42EC" w:rsidP="00DA2B42">
      <w:pPr>
        <w:pStyle w:val="Testonormale"/>
        <w:spacing w:before="120" w:after="120"/>
        <w:jc w:val="center"/>
        <w:rPr>
          <w:rFonts w:ascii="Century Gothic" w:hAnsi="Century Gothic"/>
          <w:i/>
          <w:iCs/>
          <w:sz w:val="19"/>
          <w:szCs w:val="19"/>
        </w:rPr>
      </w:pPr>
      <w:r w:rsidRPr="000B1F19">
        <w:rPr>
          <w:rFonts w:ascii="Century Gothic" w:hAnsi="Century Gothic"/>
          <w:i/>
          <w:iCs/>
          <w:sz w:val="19"/>
          <w:szCs w:val="19"/>
        </w:rPr>
        <w:t>O</w:t>
      </w:r>
      <w:r w:rsidR="00DA2B42" w:rsidRPr="000B1F19">
        <w:rPr>
          <w:rFonts w:ascii="Century Gothic" w:hAnsi="Century Gothic"/>
          <w:i/>
          <w:iCs/>
          <w:sz w:val="19"/>
          <w:szCs w:val="19"/>
        </w:rPr>
        <w:t xml:space="preserve">ttimismo </w:t>
      </w:r>
      <w:r w:rsidR="00DA2B42" w:rsidRPr="0048711B">
        <w:rPr>
          <w:rFonts w:ascii="Century Gothic" w:hAnsi="Century Gothic"/>
          <w:i/>
          <w:iCs/>
          <w:sz w:val="19"/>
          <w:szCs w:val="19"/>
        </w:rPr>
        <w:t>temperat</w:t>
      </w:r>
      <w:r w:rsidRPr="0048711B">
        <w:rPr>
          <w:rFonts w:ascii="Century Gothic" w:hAnsi="Century Gothic"/>
          <w:i/>
          <w:iCs/>
          <w:sz w:val="19"/>
          <w:szCs w:val="19"/>
        </w:rPr>
        <w:t>o</w:t>
      </w:r>
      <w:r w:rsidRPr="000B1F19">
        <w:rPr>
          <w:rFonts w:ascii="Century Gothic" w:hAnsi="Century Gothic"/>
          <w:i/>
          <w:iCs/>
          <w:sz w:val="19"/>
          <w:szCs w:val="19"/>
        </w:rPr>
        <w:t xml:space="preserve"> per gli anni a</w:t>
      </w:r>
      <w:r w:rsidR="001F3780" w:rsidRPr="000B1F19">
        <w:rPr>
          <w:rFonts w:ascii="Century Gothic" w:hAnsi="Century Gothic"/>
          <w:i/>
          <w:iCs/>
          <w:sz w:val="19"/>
          <w:szCs w:val="19"/>
        </w:rPr>
        <w:t xml:space="preserve"> </w:t>
      </w:r>
      <w:r w:rsidRPr="000B1F19">
        <w:rPr>
          <w:rFonts w:ascii="Century Gothic" w:hAnsi="Century Gothic"/>
          <w:i/>
          <w:iCs/>
          <w:sz w:val="19"/>
          <w:szCs w:val="19"/>
        </w:rPr>
        <w:t>venire</w:t>
      </w:r>
      <w:r w:rsidR="00DA2B42" w:rsidRPr="000B1F19">
        <w:rPr>
          <w:rFonts w:ascii="Century Gothic" w:hAnsi="Century Gothic"/>
          <w:i/>
          <w:iCs/>
          <w:sz w:val="19"/>
          <w:szCs w:val="19"/>
        </w:rPr>
        <w:t>: il 55%</w:t>
      </w:r>
      <w:r w:rsidR="001F3780" w:rsidRPr="000B1F19">
        <w:rPr>
          <w:rFonts w:ascii="Century Gothic" w:hAnsi="Century Gothic"/>
          <w:i/>
          <w:iCs/>
          <w:sz w:val="19"/>
          <w:szCs w:val="19"/>
        </w:rPr>
        <w:t xml:space="preserve"> delle aziende</w:t>
      </w:r>
      <w:r w:rsidR="00DA2B42" w:rsidRPr="000B1F19">
        <w:rPr>
          <w:rFonts w:ascii="Century Gothic" w:hAnsi="Century Gothic"/>
          <w:i/>
          <w:iCs/>
          <w:sz w:val="19"/>
          <w:szCs w:val="19"/>
        </w:rPr>
        <w:t xml:space="preserve"> </w:t>
      </w:r>
      <w:r w:rsidRPr="000B1F19">
        <w:rPr>
          <w:rFonts w:ascii="Century Gothic" w:hAnsi="Century Gothic"/>
          <w:i/>
          <w:iCs/>
          <w:sz w:val="19"/>
          <w:szCs w:val="19"/>
        </w:rPr>
        <w:t xml:space="preserve">attende una crescita </w:t>
      </w:r>
      <w:r w:rsidR="00DA2B42" w:rsidRPr="000B1F19">
        <w:rPr>
          <w:rFonts w:ascii="Century Gothic" w:hAnsi="Century Gothic"/>
          <w:i/>
          <w:iCs/>
          <w:sz w:val="19"/>
          <w:szCs w:val="19"/>
        </w:rPr>
        <w:t>contenut</w:t>
      </w:r>
      <w:r w:rsidRPr="000B1F19">
        <w:rPr>
          <w:rFonts w:ascii="Century Gothic" w:hAnsi="Century Gothic"/>
          <w:i/>
          <w:iCs/>
          <w:sz w:val="19"/>
          <w:szCs w:val="19"/>
        </w:rPr>
        <w:t>a</w:t>
      </w:r>
      <w:r w:rsidR="00286B45" w:rsidRPr="000B1F19">
        <w:rPr>
          <w:rFonts w:ascii="Century Gothic" w:hAnsi="Century Gothic"/>
          <w:i/>
          <w:iCs/>
          <w:sz w:val="19"/>
          <w:szCs w:val="19"/>
        </w:rPr>
        <w:t xml:space="preserve">, ma chi investe </w:t>
      </w:r>
      <w:r w:rsidR="00401838">
        <w:rPr>
          <w:rFonts w:ascii="Century Gothic" w:hAnsi="Century Gothic"/>
          <w:i/>
          <w:iCs/>
          <w:sz w:val="19"/>
          <w:szCs w:val="19"/>
        </w:rPr>
        <w:t>nella</w:t>
      </w:r>
      <w:r w:rsidR="00286B45" w:rsidRPr="000B1F19">
        <w:rPr>
          <w:rFonts w:ascii="Century Gothic" w:hAnsi="Century Gothic"/>
          <w:i/>
          <w:iCs/>
          <w:sz w:val="19"/>
          <w:szCs w:val="19"/>
        </w:rPr>
        <w:t xml:space="preserve"> </w:t>
      </w:r>
      <w:r w:rsidR="00DD6A62">
        <w:rPr>
          <w:rFonts w:ascii="Century Gothic" w:hAnsi="Century Gothic"/>
          <w:i/>
          <w:iCs/>
          <w:sz w:val="19"/>
          <w:szCs w:val="19"/>
        </w:rPr>
        <w:t>D</w:t>
      </w:r>
      <w:r w:rsidR="00286B45" w:rsidRPr="000B1F19">
        <w:rPr>
          <w:rFonts w:ascii="Century Gothic" w:hAnsi="Century Gothic"/>
          <w:i/>
          <w:iCs/>
          <w:sz w:val="19"/>
          <w:szCs w:val="19"/>
        </w:rPr>
        <w:t xml:space="preserve">uplice </w:t>
      </w:r>
      <w:r w:rsidR="00DD6A62">
        <w:rPr>
          <w:rFonts w:ascii="Century Gothic" w:hAnsi="Century Gothic"/>
          <w:i/>
          <w:iCs/>
          <w:sz w:val="19"/>
          <w:szCs w:val="19"/>
        </w:rPr>
        <w:t>T</w:t>
      </w:r>
      <w:r w:rsidR="00286B45" w:rsidRPr="000B1F19">
        <w:rPr>
          <w:rFonts w:ascii="Century Gothic" w:hAnsi="Century Gothic"/>
          <w:i/>
          <w:iCs/>
          <w:sz w:val="19"/>
          <w:szCs w:val="19"/>
        </w:rPr>
        <w:t xml:space="preserve">ransizione e nella formazione </w:t>
      </w:r>
      <w:r w:rsidR="00A84176" w:rsidRPr="000B1F19">
        <w:rPr>
          <w:rFonts w:ascii="Century Gothic" w:hAnsi="Century Gothic"/>
          <w:i/>
          <w:iCs/>
          <w:sz w:val="19"/>
          <w:szCs w:val="19"/>
        </w:rPr>
        <w:t xml:space="preserve">è più </w:t>
      </w:r>
      <w:r w:rsidR="005717E7">
        <w:rPr>
          <w:rFonts w:ascii="Century Gothic" w:hAnsi="Century Gothic"/>
          <w:i/>
          <w:iCs/>
          <w:sz w:val="19"/>
          <w:szCs w:val="19"/>
        </w:rPr>
        <w:t>fiducioso per i</w:t>
      </w:r>
      <w:r w:rsidR="00A84176" w:rsidRPr="000B1F19">
        <w:rPr>
          <w:rFonts w:ascii="Century Gothic" w:hAnsi="Century Gothic"/>
          <w:i/>
          <w:iCs/>
          <w:sz w:val="19"/>
          <w:szCs w:val="19"/>
        </w:rPr>
        <w:t>l futuro</w:t>
      </w:r>
    </w:p>
    <w:p w14:paraId="21258F49" w14:textId="4A12ED40" w:rsidR="00717501" w:rsidRDefault="00717501" w:rsidP="00DA2B42">
      <w:pPr>
        <w:pStyle w:val="Testonormale"/>
        <w:spacing w:before="120" w:after="120"/>
        <w:jc w:val="center"/>
        <w:rPr>
          <w:rFonts w:ascii="Century Gothic" w:hAnsi="Century Gothic"/>
          <w:i/>
          <w:iCs/>
          <w:sz w:val="19"/>
          <w:szCs w:val="19"/>
        </w:rPr>
      </w:pPr>
      <w:r>
        <w:rPr>
          <w:rFonts w:ascii="Century Gothic" w:hAnsi="Century Gothic"/>
          <w:i/>
          <w:iCs/>
          <w:sz w:val="19"/>
          <w:szCs w:val="19"/>
        </w:rPr>
        <w:t xml:space="preserve">La qualità </w:t>
      </w:r>
      <w:r w:rsidR="00131776">
        <w:rPr>
          <w:rFonts w:ascii="Century Gothic" w:hAnsi="Century Gothic"/>
          <w:i/>
          <w:iCs/>
          <w:sz w:val="19"/>
          <w:szCs w:val="19"/>
        </w:rPr>
        <w:t>d</w:t>
      </w:r>
      <w:r w:rsidR="005717E7">
        <w:rPr>
          <w:rFonts w:ascii="Century Gothic" w:hAnsi="Century Gothic"/>
          <w:i/>
          <w:iCs/>
          <w:sz w:val="19"/>
          <w:szCs w:val="19"/>
        </w:rPr>
        <w:t>ella</w:t>
      </w:r>
      <w:r>
        <w:rPr>
          <w:rFonts w:ascii="Century Gothic" w:hAnsi="Century Gothic"/>
          <w:i/>
          <w:iCs/>
          <w:sz w:val="19"/>
          <w:szCs w:val="19"/>
        </w:rPr>
        <w:t xml:space="preserve"> produzione in Italia è </w:t>
      </w:r>
      <w:r w:rsidR="005717E7">
        <w:rPr>
          <w:rFonts w:ascii="Century Gothic" w:hAnsi="Century Gothic"/>
          <w:i/>
          <w:iCs/>
          <w:sz w:val="19"/>
          <w:szCs w:val="19"/>
        </w:rPr>
        <w:t xml:space="preserve">considerata </w:t>
      </w:r>
      <w:r>
        <w:rPr>
          <w:rFonts w:ascii="Century Gothic" w:hAnsi="Century Gothic"/>
          <w:i/>
          <w:iCs/>
          <w:sz w:val="19"/>
          <w:szCs w:val="19"/>
        </w:rPr>
        <w:t xml:space="preserve">un asset strategico per </w:t>
      </w:r>
      <w:r w:rsidR="005717E7">
        <w:rPr>
          <w:rFonts w:ascii="Century Gothic" w:hAnsi="Century Gothic"/>
          <w:i/>
          <w:iCs/>
          <w:sz w:val="19"/>
          <w:szCs w:val="19"/>
        </w:rPr>
        <w:t>lo sviluppo</w:t>
      </w:r>
    </w:p>
    <w:p w14:paraId="1EF202A9" w14:textId="7435EDB8" w:rsidR="00DA2B42" w:rsidRPr="00DA2B42" w:rsidRDefault="00CE6627" w:rsidP="00DA2B42">
      <w:pPr>
        <w:pStyle w:val="Testonormale"/>
        <w:spacing w:before="120" w:after="120"/>
        <w:jc w:val="center"/>
        <w:rPr>
          <w:rFonts w:ascii="Century Gothic" w:hAnsi="Century Gothic"/>
          <w:i/>
          <w:iCs/>
          <w:sz w:val="19"/>
          <w:szCs w:val="19"/>
        </w:rPr>
      </w:pPr>
      <w:r>
        <w:rPr>
          <w:rFonts w:ascii="Century Gothic" w:hAnsi="Century Gothic"/>
          <w:i/>
          <w:iCs/>
          <w:sz w:val="19"/>
          <w:szCs w:val="19"/>
        </w:rPr>
        <w:t>L’attenzione ai temi ESG rappresenta una leva competitiva capace di garantire performance migliori</w:t>
      </w:r>
      <w:r w:rsidR="00BA42EC">
        <w:rPr>
          <w:rFonts w:ascii="Century Gothic" w:hAnsi="Century Gothic"/>
          <w:i/>
          <w:iCs/>
          <w:sz w:val="19"/>
          <w:szCs w:val="19"/>
        </w:rPr>
        <w:t xml:space="preserve"> </w:t>
      </w:r>
      <w:r w:rsidR="00BA42EC" w:rsidRPr="00925D96">
        <w:rPr>
          <w:rFonts w:ascii="Century Gothic" w:hAnsi="Century Gothic"/>
          <w:i/>
          <w:iCs/>
          <w:sz w:val="19"/>
          <w:szCs w:val="19"/>
        </w:rPr>
        <w:t>(+61% l’</w:t>
      </w:r>
      <w:r w:rsidR="00124DB0" w:rsidRPr="00925D96">
        <w:rPr>
          <w:rFonts w:ascii="Century Gothic" w:hAnsi="Century Gothic"/>
          <w:i/>
          <w:iCs/>
          <w:sz w:val="19"/>
          <w:szCs w:val="19"/>
        </w:rPr>
        <w:t>EBIT</w:t>
      </w:r>
      <w:r w:rsidR="00BA42EC" w:rsidRPr="00925D96">
        <w:rPr>
          <w:rFonts w:ascii="Century Gothic" w:hAnsi="Century Gothic"/>
          <w:i/>
          <w:iCs/>
          <w:sz w:val="19"/>
          <w:szCs w:val="19"/>
        </w:rPr>
        <w:t xml:space="preserve"> </w:t>
      </w:r>
      <w:proofErr w:type="spellStart"/>
      <w:r w:rsidR="004B0FB9">
        <w:rPr>
          <w:rFonts w:ascii="Century Gothic" w:hAnsi="Century Gothic"/>
          <w:i/>
          <w:iCs/>
          <w:sz w:val="19"/>
          <w:szCs w:val="19"/>
        </w:rPr>
        <w:t>m</w:t>
      </w:r>
      <w:r w:rsidR="00BA42EC" w:rsidRPr="00925D96">
        <w:rPr>
          <w:rFonts w:ascii="Century Gothic" w:hAnsi="Century Gothic"/>
          <w:i/>
          <w:iCs/>
          <w:sz w:val="19"/>
          <w:szCs w:val="19"/>
        </w:rPr>
        <w:t>argin</w:t>
      </w:r>
      <w:proofErr w:type="spellEnd"/>
      <w:r w:rsidR="00BA42EC" w:rsidRPr="00925D96">
        <w:rPr>
          <w:rFonts w:ascii="Century Gothic" w:hAnsi="Century Gothic"/>
          <w:i/>
          <w:iCs/>
          <w:sz w:val="19"/>
          <w:szCs w:val="19"/>
        </w:rPr>
        <w:t>)</w:t>
      </w:r>
    </w:p>
    <w:p w14:paraId="47407DF3" w14:textId="0358E4C3" w:rsidR="00286B45" w:rsidRPr="008A22BB" w:rsidRDefault="00BA42EC" w:rsidP="0048711B">
      <w:pPr>
        <w:spacing w:after="240"/>
        <w:jc w:val="center"/>
        <w:rPr>
          <w:rFonts w:ascii="Century Gothic" w:eastAsia="Calibri" w:hAnsi="Century Gothic"/>
          <w:i/>
          <w:iCs/>
          <w:color w:val="003366"/>
          <w:sz w:val="19"/>
          <w:szCs w:val="19"/>
        </w:rPr>
      </w:pPr>
      <w:bookmarkStart w:id="0" w:name="_Hlk82619722"/>
      <w:r>
        <w:rPr>
          <w:rFonts w:ascii="Century Gothic" w:eastAsia="Calibri" w:hAnsi="Century Gothic"/>
          <w:i/>
          <w:iCs/>
          <w:color w:val="003366"/>
          <w:sz w:val="19"/>
          <w:szCs w:val="19"/>
        </w:rPr>
        <w:t>Per trattenere i talenti</w:t>
      </w:r>
      <w:r w:rsidR="00F65C40">
        <w:rPr>
          <w:rFonts w:ascii="Century Gothic" w:eastAsia="Calibri" w:hAnsi="Century Gothic"/>
          <w:i/>
          <w:iCs/>
          <w:color w:val="003366"/>
          <w:sz w:val="19"/>
          <w:szCs w:val="19"/>
        </w:rPr>
        <w:t>,</w:t>
      </w:r>
      <w:r w:rsidR="00380AC6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un</w:t>
      </w:r>
      <w:r w:rsidR="004229A5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>a</w:t>
      </w:r>
      <w:r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impresa</w:t>
      </w:r>
      <w:r w:rsidR="004229A5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  <w:r w:rsidR="00380AC6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>su due punta su</w:t>
      </w:r>
      <w:r w:rsidR="00F65C40">
        <w:rPr>
          <w:rFonts w:ascii="Century Gothic" w:eastAsia="Calibri" w:hAnsi="Century Gothic"/>
          <w:i/>
          <w:iCs/>
          <w:color w:val="003366"/>
          <w:sz w:val="19"/>
          <w:szCs w:val="19"/>
        </w:rPr>
        <w:t>gli</w:t>
      </w:r>
      <w:r w:rsidR="00380AC6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incrementi salariali</w:t>
      </w:r>
    </w:p>
    <w:p w14:paraId="42B7C6B1" w14:textId="0D6CAE32" w:rsidR="004229A5" w:rsidRPr="008A22BB" w:rsidRDefault="004229A5" w:rsidP="00E65CD7">
      <w:pPr>
        <w:jc w:val="center"/>
        <w:rPr>
          <w:rFonts w:ascii="Calibri" w:hAnsi="Calibri" w:cs="Calibri"/>
          <w:b/>
          <w:color w:val="003366"/>
          <w:szCs w:val="24"/>
        </w:rPr>
      </w:pPr>
      <w:r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Il 48% </w:t>
      </w:r>
      <w:r w:rsidR="001F3780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si è </w:t>
      </w:r>
      <w:r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>attiv</w:t>
      </w:r>
      <w:r w:rsidR="001F3780">
        <w:rPr>
          <w:rFonts w:ascii="Century Gothic" w:eastAsia="Calibri" w:hAnsi="Century Gothic"/>
          <w:i/>
          <w:iCs/>
          <w:color w:val="003366"/>
          <w:sz w:val="19"/>
          <w:szCs w:val="19"/>
        </w:rPr>
        <w:t>ato</w:t>
      </w:r>
      <w:r w:rsidR="00CD777E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  <w:r w:rsidR="00E036E5">
        <w:rPr>
          <w:rFonts w:ascii="Century Gothic" w:eastAsia="Calibri" w:hAnsi="Century Gothic"/>
          <w:i/>
          <w:iCs/>
          <w:color w:val="003366"/>
          <w:sz w:val="19"/>
          <w:szCs w:val="19"/>
        </w:rPr>
        <w:t>(</w:t>
      </w:r>
      <w:r w:rsidR="001F3780">
        <w:rPr>
          <w:rFonts w:ascii="Century Gothic" w:eastAsia="Calibri" w:hAnsi="Century Gothic"/>
          <w:i/>
          <w:iCs/>
          <w:color w:val="003366"/>
          <w:sz w:val="19"/>
          <w:szCs w:val="19"/>
        </w:rPr>
        <w:t>o lo farà</w:t>
      </w:r>
      <w:r w:rsidR="00E036E5">
        <w:rPr>
          <w:rFonts w:ascii="Century Gothic" w:eastAsia="Calibri" w:hAnsi="Century Gothic"/>
          <w:i/>
          <w:iCs/>
          <w:color w:val="003366"/>
          <w:sz w:val="19"/>
          <w:szCs w:val="19"/>
        </w:rPr>
        <w:t>)</w:t>
      </w:r>
      <w:r w:rsidR="001F3780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  <w:r w:rsidRPr="00F65C40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per </w:t>
      </w:r>
      <w:r w:rsidR="00E036E5">
        <w:rPr>
          <w:rFonts w:ascii="Century Gothic" w:eastAsia="Calibri" w:hAnsi="Century Gothic"/>
          <w:i/>
          <w:iCs/>
          <w:color w:val="003366"/>
          <w:sz w:val="19"/>
          <w:szCs w:val="19"/>
        </w:rPr>
        <w:t>intercettare le opportunità offerte da</w:t>
      </w:r>
      <w:r w:rsidR="00057D47" w:rsidRPr="00F65C40">
        <w:rPr>
          <w:rFonts w:ascii="Century Gothic" w:eastAsia="Calibri" w:hAnsi="Century Gothic"/>
          <w:i/>
          <w:iCs/>
          <w:color w:val="003366"/>
          <w:sz w:val="19"/>
          <w:szCs w:val="19"/>
        </w:rPr>
        <w:t>l PNRR</w:t>
      </w:r>
      <w:r w:rsidRPr="00F65C40">
        <w:rPr>
          <w:rFonts w:ascii="Century Gothic" w:eastAsia="Calibri" w:hAnsi="Century Gothic"/>
          <w:i/>
          <w:iCs/>
          <w:color w:val="003366"/>
          <w:sz w:val="19"/>
          <w:szCs w:val="19"/>
        </w:rPr>
        <w:t>, ma</w:t>
      </w:r>
      <w:r w:rsidR="00DD6A62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  <w:r w:rsidR="001F3780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la </w:t>
      </w:r>
      <w:r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>burocrazia</w:t>
      </w:r>
      <w:r w:rsidR="003F4F7B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  <w:r w:rsidR="00DD533C">
        <w:rPr>
          <w:rFonts w:ascii="Century Gothic" w:eastAsia="Calibri" w:hAnsi="Century Gothic"/>
          <w:i/>
          <w:iCs/>
          <w:color w:val="003366"/>
          <w:sz w:val="19"/>
          <w:szCs w:val="19"/>
        </w:rPr>
        <w:t>è una barriera</w:t>
      </w:r>
      <w:r w:rsidR="003F4F7B" w:rsidRPr="008A22BB">
        <w:rPr>
          <w:rFonts w:ascii="Century Gothic" w:eastAsia="Calibri" w:hAnsi="Century Gothic"/>
          <w:i/>
          <w:iCs/>
          <w:color w:val="003366"/>
          <w:sz w:val="19"/>
          <w:szCs w:val="19"/>
        </w:rPr>
        <w:t xml:space="preserve"> </w:t>
      </w:r>
    </w:p>
    <w:p w14:paraId="6D6BA84E" w14:textId="77777777" w:rsidR="00402714" w:rsidRDefault="00402714" w:rsidP="00717FBE">
      <w:pPr>
        <w:rPr>
          <w:rFonts w:ascii="Calibri" w:hAnsi="Calibri" w:cs="Calibri"/>
          <w:szCs w:val="24"/>
        </w:rPr>
      </w:pPr>
    </w:p>
    <w:bookmarkEnd w:id="0"/>
    <w:p w14:paraId="719AC27A" w14:textId="1D68AC29" w:rsidR="008C3099" w:rsidRDefault="009B6DC6" w:rsidP="008C3099">
      <w:pPr>
        <w:spacing w:line="276" w:lineRule="auto"/>
        <w:ind w:firstLine="708"/>
        <w:jc w:val="right"/>
        <w:rPr>
          <w:rFonts w:ascii="Century Gothic" w:eastAsia="Calibri" w:hAnsi="Century Gothic"/>
          <w:color w:val="003366"/>
          <w:sz w:val="20"/>
        </w:rPr>
      </w:pPr>
      <w:r w:rsidRPr="008C3099">
        <w:rPr>
          <w:rFonts w:ascii="Century Gothic" w:eastAsia="Calibri" w:hAnsi="Century Gothic"/>
          <w:color w:val="003366"/>
          <w:sz w:val="20"/>
        </w:rPr>
        <w:t>Milano</w:t>
      </w:r>
      <w:r w:rsidR="00B76874" w:rsidRPr="008C3099">
        <w:rPr>
          <w:rFonts w:ascii="Century Gothic" w:eastAsia="Calibri" w:hAnsi="Century Gothic"/>
          <w:color w:val="003366"/>
          <w:sz w:val="20"/>
        </w:rPr>
        <w:t>, Roma</w:t>
      </w:r>
      <w:r w:rsidR="00182654">
        <w:rPr>
          <w:rFonts w:ascii="Century Gothic" w:eastAsia="Calibri" w:hAnsi="Century Gothic"/>
          <w:color w:val="003366"/>
          <w:sz w:val="20"/>
        </w:rPr>
        <w:t>,</w:t>
      </w:r>
      <w:r w:rsidR="00F272EB" w:rsidRPr="008C3099">
        <w:rPr>
          <w:rFonts w:ascii="Century Gothic" w:eastAsia="Calibri" w:hAnsi="Century Gothic"/>
          <w:color w:val="003366"/>
          <w:sz w:val="20"/>
        </w:rPr>
        <w:t xml:space="preserve"> </w:t>
      </w:r>
      <w:r w:rsidR="00B76874" w:rsidRPr="008C3099">
        <w:rPr>
          <w:rFonts w:ascii="Century Gothic" w:eastAsia="Calibri" w:hAnsi="Century Gothic"/>
          <w:color w:val="003366"/>
          <w:sz w:val="20"/>
        </w:rPr>
        <w:t>7 luglio 2023</w:t>
      </w:r>
    </w:p>
    <w:p w14:paraId="513738A9" w14:textId="6279B17C" w:rsidR="00DA2B42" w:rsidRPr="008C3099" w:rsidRDefault="00F272EB" w:rsidP="008C3099">
      <w:pPr>
        <w:spacing w:line="276" w:lineRule="auto"/>
        <w:ind w:firstLine="708"/>
        <w:jc w:val="right"/>
        <w:rPr>
          <w:rFonts w:ascii="Century Gothic" w:eastAsia="Calibri" w:hAnsi="Century Gothic"/>
          <w:color w:val="003366"/>
          <w:sz w:val="20"/>
        </w:rPr>
      </w:pPr>
      <w:r w:rsidRPr="008C3099">
        <w:rPr>
          <w:rFonts w:ascii="Century Gothic" w:eastAsia="Calibri" w:hAnsi="Century Gothic"/>
          <w:color w:val="003366"/>
          <w:sz w:val="20"/>
        </w:rPr>
        <w:t xml:space="preserve"> </w:t>
      </w:r>
    </w:p>
    <w:p w14:paraId="32D3A047" w14:textId="723D0324" w:rsidR="00683580" w:rsidRPr="008C3099" w:rsidRDefault="00F3612D" w:rsidP="008C3099">
      <w:pPr>
        <w:spacing w:line="276" w:lineRule="auto"/>
        <w:rPr>
          <w:rFonts w:ascii="Century Gothic" w:eastAsia="Calibri" w:hAnsi="Century Gothic"/>
          <w:color w:val="003366"/>
          <w:sz w:val="20"/>
        </w:rPr>
      </w:pPr>
      <w:bookmarkStart w:id="1" w:name="_Hlk138675186"/>
      <w:r>
        <w:rPr>
          <w:rFonts w:ascii="Century Gothic" w:eastAsia="Calibri" w:hAnsi="Century Gothic"/>
          <w:color w:val="003366"/>
          <w:sz w:val="20"/>
        </w:rPr>
        <w:t xml:space="preserve">Aumenta </w:t>
      </w:r>
      <w:r w:rsidR="003B609B">
        <w:rPr>
          <w:rFonts w:ascii="Century Gothic" w:eastAsia="Calibri" w:hAnsi="Century Gothic"/>
          <w:color w:val="003366"/>
          <w:sz w:val="20"/>
        </w:rPr>
        <w:t>il fatturato</w:t>
      </w:r>
      <w:r w:rsidR="009111C8" w:rsidRPr="008C3099">
        <w:rPr>
          <w:rFonts w:ascii="Century Gothic" w:eastAsia="Calibri" w:hAnsi="Century Gothic"/>
          <w:color w:val="003366"/>
          <w:sz w:val="20"/>
        </w:rPr>
        <w:t xml:space="preserve"> </w:t>
      </w:r>
      <w:r w:rsidR="003B609B">
        <w:rPr>
          <w:rFonts w:ascii="Century Gothic" w:eastAsia="Calibri" w:hAnsi="Century Gothic"/>
          <w:color w:val="003366"/>
          <w:sz w:val="20"/>
        </w:rPr>
        <w:t xml:space="preserve">delle medie imprese </w:t>
      </w:r>
      <w:r w:rsidR="009111C8" w:rsidRPr="008C3099">
        <w:rPr>
          <w:rFonts w:ascii="Century Gothic" w:eastAsia="Calibri" w:hAnsi="Century Gothic"/>
          <w:color w:val="003366"/>
          <w:sz w:val="20"/>
        </w:rPr>
        <w:t>nel</w:t>
      </w:r>
      <w:r w:rsidR="00767582" w:rsidRPr="008C3099">
        <w:rPr>
          <w:rFonts w:ascii="Century Gothic" w:eastAsia="Calibri" w:hAnsi="Century Gothic"/>
          <w:color w:val="003366"/>
          <w:sz w:val="20"/>
        </w:rPr>
        <w:t xml:space="preserve"> 202</w:t>
      </w:r>
      <w:r w:rsidR="00B76874" w:rsidRPr="008C3099">
        <w:rPr>
          <w:rFonts w:ascii="Century Gothic" w:eastAsia="Calibri" w:hAnsi="Century Gothic"/>
          <w:color w:val="003366"/>
          <w:sz w:val="20"/>
        </w:rPr>
        <w:t>2</w:t>
      </w:r>
      <w:r w:rsidR="00767582" w:rsidRPr="008C3099">
        <w:rPr>
          <w:rFonts w:ascii="Century Gothic" w:eastAsia="Calibri" w:hAnsi="Century Gothic"/>
          <w:color w:val="003366"/>
          <w:sz w:val="20"/>
        </w:rPr>
        <w:t xml:space="preserve"> (+1</w:t>
      </w:r>
      <w:r w:rsidR="00B76874" w:rsidRPr="008C3099">
        <w:rPr>
          <w:rFonts w:ascii="Century Gothic" w:eastAsia="Calibri" w:hAnsi="Century Gothic"/>
          <w:color w:val="003366"/>
          <w:sz w:val="20"/>
        </w:rPr>
        <w:t>5</w:t>
      </w:r>
      <w:r w:rsidR="00767582" w:rsidRPr="008C3099">
        <w:rPr>
          <w:rFonts w:ascii="Century Gothic" w:eastAsia="Calibri" w:hAnsi="Century Gothic"/>
          <w:color w:val="003366"/>
          <w:sz w:val="20"/>
        </w:rPr>
        <w:t xml:space="preserve">%) </w:t>
      </w:r>
      <w:r w:rsidR="003B609B">
        <w:rPr>
          <w:rFonts w:ascii="Century Gothic" w:eastAsia="Calibri" w:hAnsi="Century Gothic"/>
          <w:color w:val="003366"/>
          <w:sz w:val="20"/>
        </w:rPr>
        <w:t xml:space="preserve">e </w:t>
      </w:r>
      <w:r w:rsidR="00FE681C">
        <w:rPr>
          <w:rFonts w:ascii="Century Gothic" w:eastAsia="Calibri" w:hAnsi="Century Gothic"/>
          <w:color w:val="003366"/>
          <w:sz w:val="20"/>
        </w:rPr>
        <w:t xml:space="preserve">proseguono le </w:t>
      </w:r>
      <w:r w:rsidR="003B609B">
        <w:rPr>
          <w:rFonts w:ascii="Century Gothic" w:eastAsia="Calibri" w:hAnsi="Century Gothic"/>
          <w:color w:val="003366"/>
          <w:sz w:val="20"/>
        </w:rPr>
        <w:t xml:space="preserve">prospettive di crescita, anche se più contenute, </w:t>
      </w:r>
      <w:r w:rsidR="00767582" w:rsidRPr="008C3099">
        <w:rPr>
          <w:rFonts w:ascii="Century Gothic" w:eastAsia="Calibri" w:hAnsi="Century Gothic"/>
          <w:color w:val="003366"/>
          <w:sz w:val="20"/>
        </w:rPr>
        <w:t>per il 202</w:t>
      </w:r>
      <w:r w:rsidR="00B76874" w:rsidRPr="008C3099">
        <w:rPr>
          <w:rFonts w:ascii="Century Gothic" w:eastAsia="Calibri" w:hAnsi="Century Gothic"/>
          <w:color w:val="003366"/>
          <w:sz w:val="20"/>
        </w:rPr>
        <w:t>3</w:t>
      </w:r>
      <w:r w:rsidR="00767582" w:rsidRPr="008C3099">
        <w:rPr>
          <w:rFonts w:ascii="Century Gothic" w:eastAsia="Calibri" w:hAnsi="Century Gothic"/>
          <w:color w:val="003366"/>
          <w:sz w:val="20"/>
        </w:rPr>
        <w:t xml:space="preserve"> (+</w:t>
      </w:r>
      <w:r w:rsidR="00B76874" w:rsidRPr="008C3099">
        <w:rPr>
          <w:rFonts w:ascii="Century Gothic" w:eastAsia="Calibri" w:hAnsi="Century Gothic"/>
          <w:color w:val="003366"/>
          <w:sz w:val="20"/>
        </w:rPr>
        <w:t>3,5</w:t>
      </w:r>
      <w:r w:rsidR="00767582" w:rsidRPr="008C3099">
        <w:rPr>
          <w:rFonts w:ascii="Century Gothic" w:eastAsia="Calibri" w:hAnsi="Century Gothic"/>
          <w:color w:val="003366"/>
          <w:sz w:val="20"/>
        </w:rPr>
        <w:t>%)</w:t>
      </w:r>
      <w:r w:rsidR="003B609B">
        <w:rPr>
          <w:rFonts w:ascii="Century Gothic" w:eastAsia="Calibri" w:hAnsi="Century Gothic"/>
          <w:color w:val="003366"/>
          <w:sz w:val="20"/>
        </w:rPr>
        <w:t>.</w:t>
      </w:r>
      <w:bookmarkEnd w:id="1"/>
      <w:r w:rsidR="00EE097A" w:rsidRPr="008C3099">
        <w:rPr>
          <w:rFonts w:ascii="Century Gothic" w:eastAsia="Calibri" w:hAnsi="Century Gothic"/>
          <w:color w:val="003366"/>
          <w:sz w:val="20"/>
        </w:rPr>
        <w:t xml:space="preserve"> </w:t>
      </w:r>
      <w:bookmarkStart w:id="2" w:name="_Hlk138674959"/>
      <w:r w:rsidR="009015CB">
        <w:rPr>
          <w:rFonts w:ascii="Century Gothic" w:eastAsia="Calibri" w:hAnsi="Century Gothic"/>
          <w:color w:val="003366"/>
          <w:sz w:val="20"/>
        </w:rPr>
        <w:t xml:space="preserve">Le </w:t>
      </w:r>
      <w:r w:rsidR="00A131B7">
        <w:rPr>
          <w:rFonts w:ascii="Century Gothic" w:eastAsia="Calibri" w:hAnsi="Century Gothic"/>
          <w:color w:val="003366"/>
          <w:sz w:val="20"/>
        </w:rPr>
        <w:t>m</w:t>
      </w:r>
      <w:r w:rsidR="009015CB">
        <w:rPr>
          <w:rFonts w:ascii="Century Gothic" w:eastAsia="Calibri" w:hAnsi="Century Gothic"/>
          <w:color w:val="003366"/>
          <w:sz w:val="20"/>
        </w:rPr>
        <w:t xml:space="preserve">edie </w:t>
      </w:r>
      <w:r w:rsidR="00A131B7">
        <w:rPr>
          <w:rFonts w:ascii="Century Gothic" w:eastAsia="Calibri" w:hAnsi="Century Gothic"/>
          <w:color w:val="003366"/>
          <w:sz w:val="20"/>
        </w:rPr>
        <w:t>i</w:t>
      </w:r>
      <w:r w:rsidR="009015CB">
        <w:rPr>
          <w:rFonts w:ascii="Century Gothic" w:eastAsia="Calibri" w:hAnsi="Century Gothic"/>
          <w:color w:val="003366"/>
          <w:sz w:val="20"/>
        </w:rPr>
        <w:t>mprese</w:t>
      </w:r>
      <w:r w:rsidR="00894FC5">
        <w:rPr>
          <w:rFonts w:ascii="Century Gothic" w:eastAsia="Calibri" w:hAnsi="Century Gothic"/>
          <w:color w:val="003366"/>
          <w:sz w:val="20"/>
        </w:rPr>
        <w:t xml:space="preserve"> </w:t>
      </w:r>
      <w:r w:rsidR="00B76874" w:rsidRPr="008C3099">
        <w:rPr>
          <w:rFonts w:ascii="Century Gothic" w:eastAsia="Calibri" w:hAnsi="Century Gothic"/>
          <w:color w:val="003366"/>
          <w:sz w:val="20"/>
        </w:rPr>
        <w:t>confermano</w:t>
      </w:r>
      <w:r w:rsidR="00AB6E24">
        <w:rPr>
          <w:rFonts w:ascii="Century Gothic" w:eastAsia="Calibri" w:hAnsi="Century Gothic"/>
          <w:color w:val="003366"/>
          <w:sz w:val="20"/>
        </w:rPr>
        <w:t xml:space="preserve"> di avere un</w:t>
      </w:r>
      <w:r w:rsidR="00E036E5">
        <w:rPr>
          <w:rFonts w:ascii="Century Gothic" w:eastAsia="Calibri" w:hAnsi="Century Gothic"/>
          <w:color w:val="003366"/>
          <w:sz w:val="20"/>
        </w:rPr>
        <w:t xml:space="preserve"> </w:t>
      </w:r>
      <w:r w:rsidR="00B76874" w:rsidRPr="008C3099">
        <w:rPr>
          <w:rFonts w:ascii="Century Gothic" w:eastAsia="Calibri" w:hAnsi="Century Gothic"/>
          <w:color w:val="003366"/>
          <w:sz w:val="20"/>
        </w:rPr>
        <w:t>modello dinamico e più resiliente rispetto alle grandi imprese ne</w:t>
      </w:r>
      <w:r w:rsidR="00683580" w:rsidRPr="008C3099">
        <w:rPr>
          <w:rFonts w:ascii="Century Gothic" w:eastAsia="Calibri" w:hAnsi="Century Gothic"/>
          <w:color w:val="003366"/>
          <w:sz w:val="20"/>
        </w:rPr>
        <w:t>i periodi di crisi</w:t>
      </w:r>
      <w:r w:rsidR="00767582" w:rsidRPr="008C3099">
        <w:rPr>
          <w:rFonts w:ascii="Century Gothic" w:eastAsia="Calibri" w:hAnsi="Century Gothic"/>
          <w:color w:val="003366"/>
          <w:sz w:val="20"/>
        </w:rPr>
        <w:t>.</w:t>
      </w:r>
      <w:r w:rsidR="00E65CD7" w:rsidRPr="008C3099">
        <w:rPr>
          <w:rFonts w:ascii="Century Gothic" w:eastAsia="Calibri" w:hAnsi="Century Gothic"/>
          <w:color w:val="003366"/>
          <w:sz w:val="20"/>
        </w:rPr>
        <w:t xml:space="preserve"> </w:t>
      </w:r>
      <w:r w:rsidR="00894FC5">
        <w:rPr>
          <w:rFonts w:ascii="Century Gothic" w:eastAsia="Calibri" w:hAnsi="Century Gothic"/>
          <w:color w:val="003366"/>
          <w:sz w:val="20"/>
        </w:rPr>
        <w:t>La chiave</w:t>
      </w:r>
      <w:r w:rsidR="00EE097A" w:rsidRPr="008C3099">
        <w:rPr>
          <w:rFonts w:ascii="Century Gothic" w:eastAsia="Calibri" w:hAnsi="Century Gothic"/>
          <w:color w:val="003366"/>
          <w:sz w:val="20"/>
        </w:rPr>
        <w:t xml:space="preserve"> di questo successo </w:t>
      </w:r>
      <w:r w:rsidR="00894FC5">
        <w:rPr>
          <w:rFonts w:ascii="Century Gothic" w:eastAsia="Calibri" w:hAnsi="Century Gothic"/>
          <w:color w:val="003366"/>
          <w:sz w:val="20"/>
        </w:rPr>
        <w:t>sta</w:t>
      </w:r>
      <w:r w:rsidR="00EE097A" w:rsidRPr="008C3099">
        <w:rPr>
          <w:rFonts w:ascii="Century Gothic" w:eastAsia="Calibri" w:hAnsi="Century Gothic"/>
          <w:color w:val="003366"/>
          <w:sz w:val="20"/>
        </w:rPr>
        <w:t xml:space="preserve"> </w:t>
      </w:r>
      <w:r w:rsidR="00894FC5">
        <w:rPr>
          <w:rFonts w:ascii="Century Gothic" w:eastAsia="Calibri" w:hAnsi="Century Gothic"/>
          <w:color w:val="003366"/>
          <w:sz w:val="20"/>
        </w:rPr>
        <w:t>nell’</w:t>
      </w:r>
      <w:r w:rsidR="00EE097A" w:rsidRPr="008C3099">
        <w:rPr>
          <w:rFonts w:ascii="Century Gothic" w:eastAsia="Calibri" w:hAnsi="Century Gothic"/>
          <w:color w:val="003366"/>
          <w:sz w:val="20"/>
        </w:rPr>
        <w:t>attenzione verso</w:t>
      </w:r>
      <w:r w:rsidR="000045DD">
        <w:rPr>
          <w:rFonts w:ascii="Century Gothic" w:eastAsia="Calibri" w:hAnsi="Century Gothic"/>
          <w:color w:val="003366"/>
          <w:sz w:val="20"/>
        </w:rPr>
        <w:t xml:space="preserve"> la qualità e</w:t>
      </w:r>
      <w:r w:rsidR="00683580" w:rsidRPr="008C3099">
        <w:rPr>
          <w:rFonts w:ascii="Century Gothic" w:eastAsia="Calibri" w:hAnsi="Century Gothic"/>
          <w:color w:val="003366"/>
          <w:sz w:val="20"/>
        </w:rPr>
        <w:t xml:space="preserve"> il </w:t>
      </w:r>
      <w:r w:rsidR="00CE7A2D">
        <w:rPr>
          <w:rFonts w:ascii="Century Gothic" w:eastAsia="Calibri" w:hAnsi="Century Gothic"/>
          <w:color w:val="003366"/>
          <w:sz w:val="20"/>
        </w:rPr>
        <w:t>C</w:t>
      </w:r>
      <w:r w:rsidR="00683580" w:rsidRPr="008C3099">
        <w:rPr>
          <w:rFonts w:ascii="Century Gothic" w:eastAsia="Calibri" w:hAnsi="Century Gothic"/>
          <w:color w:val="003366"/>
          <w:sz w:val="20"/>
        </w:rPr>
        <w:t xml:space="preserve">apitale </w:t>
      </w:r>
      <w:r w:rsidR="00CE7A2D">
        <w:rPr>
          <w:rFonts w:ascii="Century Gothic" w:eastAsia="Calibri" w:hAnsi="Century Gothic"/>
          <w:color w:val="003366"/>
          <w:sz w:val="20"/>
        </w:rPr>
        <w:t>U</w:t>
      </w:r>
      <w:r w:rsidR="00683580" w:rsidRPr="008C3099">
        <w:rPr>
          <w:rFonts w:ascii="Century Gothic" w:eastAsia="Calibri" w:hAnsi="Century Gothic"/>
          <w:color w:val="003366"/>
          <w:sz w:val="20"/>
        </w:rPr>
        <w:t>mano</w:t>
      </w:r>
      <w:r w:rsidR="00F12A1E">
        <w:rPr>
          <w:rFonts w:ascii="Century Gothic" w:eastAsia="Calibri" w:hAnsi="Century Gothic"/>
          <w:color w:val="003366"/>
          <w:sz w:val="20"/>
        </w:rPr>
        <w:t>,</w:t>
      </w:r>
      <w:r w:rsidR="00683580" w:rsidRPr="008C3099">
        <w:rPr>
          <w:rFonts w:ascii="Century Gothic" w:eastAsia="Calibri" w:hAnsi="Century Gothic"/>
          <w:color w:val="003366"/>
          <w:sz w:val="20"/>
        </w:rPr>
        <w:t xml:space="preserve"> </w:t>
      </w:r>
      <w:r w:rsidR="00EE097A" w:rsidRPr="008C3099">
        <w:rPr>
          <w:rFonts w:ascii="Century Gothic" w:eastAsia="Calibri" w:hAnsi="Century Gothic"/>
          <w:color w:val="003366"/>
          <w:sz w:val="20"/>
        </w:rPr>
        <w:t xml:space="preserve">che rappresenta il fattore </w:t>
      </w:r>
      <w:r w:rsidR="00894FC5">
        <w:rPr>
          <w:rFonts w:ascii="Century Gothic" w:eastAsia="Calibri" w:hAnsi="Century Gothic"/>
          <w:color w:val="003366"/>
          <w:sz w:val="20"/>
        </w:rPr>
        <w:t>determinante della competitività</w:t>
      </w:r>
      <w:r w:rsidR="00EE097A" w:rsidRPr="008C3099">
        <w:rPr>
          <w:rFonts w:ascii="Century Gothic" w:eastAsia="Calibri" w:hAnsi="Century Gothic"/>
          <w:color w:val="003366"/>
          <w:sz w:val="20"/>
        </w:rPr>
        <w:t>.</w:t>
      </w:r>
      <w:r w:rsidR="00347BA5">
        <w:rPr>
          <w:rFonts w:ascii="Century Gothic" w:eastAsia="Calibri" w:hAnsi="Century Gothic"/>
          <w:color w:val="003366"/>
          <w:sz w:val="20"/>
        </w:rPr>
        <w:t xml:space="preserve"> </w:t>
      </w:r>
      <w:r w:rsidR="00AB6E24">
        <w:rPr>
          <w:rFonts w:ascii="Century Gothic" w:eastAsia="Calibri" w:hAnsi="Century Gothic"/>
          <w:color w:val="003366"/>
          <w:sz w:val="20"/>
        </w:rPr>
        <w:t xml:space="preserve">Sono più ottimiste le </w:t>
      </w:r>
      <w:r w:rsidR="00DD6A62">
        <w:rPr>
          <w:rFonts w:ascii="Century Gothic" w:eastAsia="Calibri" w:hAnsi="Century Gothic"/>
          <w:color w:val="003366"/>
          <w:sz w:val="20"/>
        </w:rPr>
        <w:t>m</w:t>
      </w:r>
      <w:r w:rsidR="00AB6E24">
        <w:rPr>
          <w:rFonts w:ascii="Century Gothic" w:eastAsia="Calibri" w:hAnsi="Century Gothic"/>
          <w:color w:val="003366"/>
          <w:sz w:val="20"/>
        </w:rPr>
        <w:t xml:space="preserve">edie </w:t>
      </w:r>
      <w:r w:rsidR="00DD6A62">
        <w:rPr>
          <w:rFonts w:ascii="Century Gothic" w:eastAsia="Calibri" w:hAnsi="Century Gothic"/>
          <w:color w:val="003366"/>
          <w:sz w:val="20"/>
        </w:rPr>
        <w:t>i</w:t>
      </w:r>
      <w:r w:rsidR="00AB6E24">
        <w:rPr>
          <w:rFonts w:ascii="Century Gothic" w:eastAsia="Calibri" w:hAnsi="Century Gothic"/>
          <w:color w:val="003366"/>
          <w:sz w:val="20"/>
        </w:rPr>
        <w:t>mprese che investono</w:t>
      </w:r>
      <w:r w:rsidR="00347BA5">
        <w:rPr>
          <w:rFonts w:ascii="Century Gothic" w:eastAsia="Calibri" w:hAnsi="Century Gothic"/>
          <w:color w:val="003366"/>
          <w:sz w:val="20"/>
        </w:rPr>
        <w:t xml:space="preserve"> nella </w:t>
      </w:r>
      <w:r w:rsidR="00F835AD">
        <w:rPr>
          <w:rFonts w:ascii="Century Gothic" w:eastAsia="Calibri" w:hAnsi="Century Gothic"/>
          <w:color w:val="003366"/>
          <w:sz w:val="20"/>
        </w:rPr>
        <w:t>d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igitalizzazione e nel </w:t>
      </w:r>
      <w:r w:rsidR="00F835AD">
        <w:rPr>
          <w:rFonts w:ascii="Century Gothic" w:eastAsia="Calibri" w:hAnsi="Century Gothic"/>
          <w:color w:val="003366"/>
          <w:sz w:val="20"/>
        </w:rPr>
        <w:t>g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reen. Il </w:t>
      </w:r>
      <w:r w:rsidR="002F53D5" w:rsidRPr="00AA0EC4">
        <w:rPr>
          <w:rFonts w:ascii="Century Gothic" w:eastAsia="Calibri" w:hAnsi="Century Gothic"/>
          <w:color w:val="003366"/>
          <w:sz w:val="20"/>
        </w:rPr>
        <w:t>34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% </w:t>
      </w:r>
      <w:r w:rsidR="001F3780" w:rsidRPr="00AA0EC4">
        <w:rPr>
          <w:rFonts w:ascii="Century Gothic" w:eastAsia="Calibri" w:hAnsi="Century Gothic"/>
          <w:color w:val="003366"/>
          <w:sz w:val="20"/>
        </w:rPr>
        <w:t>di quelle che prevedono una crescita del fatturato nel periodo 2023-2025</w:t>
      </w:r>
      <w:r w:rsidR="00821AC1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427562" w:rsidRPr="00AA0EC4">
        <w:rPr>
          <w:rFonts w:ascii="Century Gothic" w:eastAsia="Calibri" w:hAnsi="Century Gothic"/>
          <w:color w:val="003366"/>
          <w:sz w:val="20"/>
        </w:rPr>
        <w:t>punterà</w:t>
      </w:r>
      <w:r w:rsidR="00F835AD">
        <w:rPr>
          <w:rFonts w:ascii="Century Gothic" w:eastAsia="Calibri" w:hAnsi="Century Gothic"/>
          <w:color w:val="003366"/>
          <w:sz w:val="20"/>
        </w:rPr>
        <w:t xml:space="preserve"> infatti 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sulla </w:t>
      </w:r>
      <w:r w:rsidR="009918C7" w:rsidRPr="00AA0EC4">
        <w:rPr>
          <w:rFonts w:ascii="Century Gothic" w:eastAsia="Calibri" w:hAnsi="Century Gothic"/>
          <w:color w:val="003366"/>
          <w:sz w:val="20"/>
        </w:rPr>
        <w:t>D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uplice </w:t>
      </w:r>
      <w:r w:rsidR="009918C7" w:rsidRPr="00AA0EC4">
        <w:rPr>
          <w:rFonts w:ascii="Century Gothic" w:eastAsia="Calibri" w:hAnsi="Century Gothic"/>
          <w:color w:val="003366"/>
          <w:sz w:val="20"/>
        </w:rPr>
        <w:t>T</w:t>
      </w:r>
      <w:r w:rsidR="00347BA5" w:rsidRPr="00AA0EC4">
        <w:rPr>
          <w:rFonts w:ascii="Century Gothic" w:eastAsia="Calibri" w:hAnsi="Century Gothic"/>
          <w:color w:val="003366"/>
          <w:sz w:val="20"/>
        </w:rPr>
        <w:t>ransizione</w:t>
      </w:r>
      <w:r w:rsidR="002536AF" w:rsidRPr="00AA0EC4">
        <w:rPr>
          <w:rFonts w:ascii="Century Gothic" w:eastAsia="Calibri" w:hAnsi="Century Gothic"/>
          <w:color w:val="003366"/>
          <w:sz w:val="20"/>
        </w:rPr>
        <w:t xml:space="preserve">, contro il </w:t>
      </w:r>
      <w:r w:rsidR="002F53D5" w:rsidRPr="00AA0EC4">
        <w:rPr>
          <w:rFonts w:ascii="Century Gothic" w:eastAsia="Calibri" w:hAnsi="Century Gothic"/>
          <w:color w:val="003366"/>
          <w:sz w:val="20"/>
        </w:rPr>
        <w:t>30</w:t>
      </w:r>
      <w:r w:rsidR="00821AC1" w:rsidRPr="00AA0EC4">
        <w:rPr>
          <w:rFonts w:ascii="Century Gothic" w:eastAsia="Calibri" w:hAnsi="Century Gothic"/>
          <w:color w:val="003366"/>
          <w:sz w:val="20"/>
        </w:rPr>
        <w:t>%</w:t>
      </w:r>
      <w:r w:rsidR="002536AF" w:rsidRPr="00AA0EC4">
        <w:rPr>
          <w:rFonts w:ascii="Century Gothic" w:eastAsia="Calibri" w:hAnsi="Century Gothic"/>
          <w:color w:val="003366"/>
          <w:sz w:val="20"/>
        </w:rPr>
        <w:t xml:space="preserve"> che non </w:t>
      </w:r>
      <w:r w:rsidR="00894FC5" w:rsidRPr="00AA0EC4">
        <w:rPr>
          <w:rFonts w:ascii="Century Gothic" w:eastAsia="Calibri" w:hAnsi="Century Gothic"/>
          <w:color w:val="003366"/>
          <w:sz w:val="20"/>
        </w:rPr>
        <w:t>lo far</w:t>
      </w:r>
      <w:r w:rsidR="00427562" w:rsidRPr="00AA0EC4">
        <w:rPr>
          <w:rFonts w:ascii="Century Gothic" w:eastAsia="Calibri" w:hAnsi="Century Gothic"/>
          <w:color w:val="003366"/>
          <w:sz w:val="20"/>
        </w:rPr>
        <w:t>à</w:t>
      </w:r>
      <w:r w:rsidR="00347BA5" w:rsidRPr="00AA0EC4">
        <w:rPr>
          <w:rFonts w:ascii="Century Gothic" w:eastAsia="Calibri" w:hAnsi="Century Gothic"/>
          <w:color w:val="003366"/>
          <w:sz w:val="20"/>
        </w:rPr>
        <w:t>. Un</w:t>
      </w:r>
      <w:r w:rsidR="0041339E" w:rsidRPr="00AA0EC4">
        <w:rPr>
          <w:rFonts w:ascii="Century Gothic" w:eastAsia="Calibri" w:hAnsi="Century Gothic"/>
          <w:color w:val="003366"/>
          <w:sz w:val="20"/>
        </w:rPr>
        <w:t>a</w:t>
      </w:r>
      <w:r w:rsidR="00347BA5" w:rsidRPr="00AA0EC4">
        <w:rPr>
          <w:rFonts w:ascii="Century Gothic" w:eastAsia="Calibri" w:hAnsi="Century Gothic"/>
          <w:color w:val="003366"/>
          <w:sz w:val="20"/>
        </w:rPr>
        <w:t xml:space="preserve"> quota che sale al 46% quando </w:t>
      </w:r>
      <w:r w:rsidR="002F53D5" w:rsidRPr="00AA0EC4">
        <w:rPr>
          <w:rFonts w:ascii="Century Gothic" w:eastAsia="Calibri" w:hAnsi="Century Gothic"/>
          <w:color w:val="003366"/>
          <w:sz w:val="20"/>
        </w:rPr>
        <w:t xml:space="preserve">gli investimenti </w:t>
      </w:r>
      <w:r w:rsidR="009138D7" w:rsidRPr="00AA0EC4">
        <w:rPr>
          <w:rFonts w:ascii="Century Gothic" w:eastAsia="Calibri" w:hAnsi="Century Gothic"/>
          <w:color w:val="003366"/>
          <w:sz w:val="20"/>
        </w:rPr>
        <w:t xml:space="preserve">in </w:t>
      </w:r>
      <w:r w:rsidR="00F835AD">
        <w:rPr>
          <w:rFonts w:ascii="Century Gothic" w:eastAsia="Calibri" w:hAnsi="Century Gothic"/>
          <w:color w:val="003366"/>
          <w:sz w:val="20"/>
        </w:rPr>
        <w:t>d</w:t>
      </w:r>
      <w:r w:rsidR="009138D7" w:rsidRPr="00AA0EC4">
        <w:rPr>
          <w:rFonts w:ascii="Century Gothic" w:eastAsia="Calibri" w:hAnsi="Century Gothic"/>
          <w:color w:val="003366"/>
          <w:sz w:val="20"/>
        </w:rPr>
        <w:t xml:space="preserve">igitale e </w:t>
      </w:r>
      <w:r w:rsidR="00F835AD">
        <w:rPr>
          <w:rFonts w:ascii="Century Gothic" w:eastAsia="Calibri" w:hAnsi="Century Gothic"/>
          <w:color w:val="003366"/>
          <w:sz w:val="20"/>
        </w:rPr>
        <w:t>g</w:t>
      </w:r>
      <w:r w:rsidR="009138D7" w:rsidRPr="00AA0EC4">
        <w:rPr>
          <w:rFonts w:ascii="Century Gothic" w:eastAsia="Calibri" w:hAnsi="Century Gothic"/>
          <w:color w:val="003366"/>
          <w:sz w:val="20"/>
        </w:rPr>
        <w:t>reen</w:t>
      </w:r>
      <w:r w:rsidR="002F53D5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2536AF" w:rsidRPr="00AA0EC4">
        <w:rPr>
          <w:rFonts w:ascii="Century Gothic" w:eastAsia="Calibri" w:hAnsi="Century Gothic"/>
          <w:color w:val="003366"/>
          <w:sz w:val="20"/>
        </w:rPr>
        <w:t xml:space="preserve">si </w:t>
      </w:r>
      <w:r w:rsidR="001F3780" w:rsidRPr="00AA0EC4">
        <w:rPr>
          <w:rFonts w:ascii="Century Gothic" w:eastAsia="Calibri" w:hAnsi="Century Gothic"/>
          <w:color w:val="003366"/>
          <w:sz w:val="20"/>
        </w:rPr>
        <w:t xml:space="preserve">abbinano </w:t>
      </w:r>
      <w:r w:rsidR="00E036E5">
        <w:rPr>
          <w:rFonts w:ascii="Century Gothic" w:eastAsia="Calibri" w:hAnsi="Century Gothic"/>
          <w:color w:val="003366"/>
          <w:sz w:val="20"/>
        </w:rPr>
        <w:t>a</w:t>
      </w:r>
      <w:r w:rsidR="00E036E5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2F53D5" w:rsidRPr="00AA0EC4">
        <w:rPr>
          <w:rFonts w:ascii="Century Gothic" w:eastAsia="Calibri" w:hAnsi="Century Gothic"/>
          <w:color w:val="003366"/>
          <w:sz w:val="20"/>
        </w:rPr>
        <w:t xml:space="preserve">quelli in </w:t>
      </w:r>
      <w:r w:rsidR="00821AC1" w:rsidRPr="00AA0EC4">
        <w:rPr>
          <w:rFonts w:ascii="Century Gothic" w:eastAsia="Calibri" w:hAnsi="Century Gothic"/>
          <w:color w:val="003366"/>
          <w:sz w:val="20"/>
        </w:rPr>
        <w:t xml:space="preserve">formazione del </w:t>
      </w:r>
      <w:r w:rsidR="00437130" w:rsidRPr="00AA0EC4">
        <w:rPr>
          <w:rFonts w:ascii="Century Gothic" w:eastAsia="Calibri" w:hAnsi="Century Gothic"/>
          <w:color w:val="003366"/>
          <w:sz w:val="20"/>
        </w:rPr>
        <w:t>C</w:t>
      </w:r>
      <w:r w:rsidR="00821AC1" w:rsidRPr="00AA0EC4">
        <w:rPr>
          <w:rFonts w:ascii="Century Gothic" w:eastAsia="Calibri" w:hAnsi="Century Gothic"/>
          <w:color w:val="003366"/>
          <w:sz w:val="20"/>
        </w:rPr>
        <w:t xml:space="preserve">apitale </w:t>
      </w:r>
      <w:r w:rsidR="00437130" w:rsidRPr="00AA0EC4">
        <w:rPr>
          <w:rFonts w:ascii="Century Gothic" w:eastAsia="Calibri" w:hAnsi="Century Gothic"/>
          <w:color w:val="003366"/>
          <w:sz w:val="20"/>
        </w:rPr>
        <w:t>U</w:t>
      </w:r>
      <w:r w:rsidR="00821AC1" w:rsidRPr="00AA0EC4">
        <w:rPr>
          <w:rFonts w:ascii="Century Gothic" w:eastAsia="Calibri" w:hAnsi="Century Gothic"/>
          <w:color w:val="003366"/>
          <w:sz w:val="20"/>
        </w:rPr>
        <w:t>mano.</w:t>
      </w:r>
      <w:r w:rsidR="002F53D5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5717E7">
        <w:rPr>
          <w:rFonts w:ascii="Century Gothic" w:eastAsia="Calibri" w:hAnsi="Century Gothic"/>
          <w:color w:val="003366"/>
          <w:sz w:val="20"/>
        </w:rPr>
        <w:t>In quest’ottica</w:t>
      </w:r>
      <w:r w:rsidR="007C234A" w:rsidRPr="00AA0EC4">
        <w:rPr>
          <w:rFonts w:ascii="Century Gothic" w:eastAsia="Calibri" w:hAnsi="Century Gothic"/>
          <w:color w:val="003366"/>
          <w:sz w:val="20"/>
        </w:rPr>
        <w:t>,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5717E7">
        <w:rPr>
          <w:rFonts w:ascii="Century Gothic" w:eastAsia="Calibri" w:hAnsi="Century Gothic"/>
          <w:color w:val="003366"/>
          <w:sz w:val="20"/>
        </w:rPr>
        <w:t>circa la metà delle imprese</w:t>
      </w:r>
      <w:r w:rsidR="0073088B" w:rsidRPr="00AA0EC4">
        <w:rPr>
          <w:rFonts w:ascii="Century Gothic" w:eastAsia="Calibri" w:hAnsi="Century Gothic"/>
          <w:color w:val="003366"/>
          <w:sz w:val="20"/>
        </w:rPr>
        <w:t xml:space="preserve"> s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i </w:t>
      </w:r>
      <w:r w:rsidR="00D239D0" w:rsidRPr="00AA0EC4">
        <w:rPr>
          <w:rFonts w:ascii="Century Gothic" w:eastAsia="Calibri" w:hAnsi="Century Gothic"/>
          <w:color w:val="003366"/>
          <w:sz w:val="20"/>
        </w:rPr>
        <w:t>è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 attivat</w:t>
      </w:r>
      <w:r w:rsidR="00D239D0" w:rsidRPr="00AA0EC4">
        <w:rPr>
          <w:rFonts w:ascii="Century Gothic" w:eastAsia="Calibri" w:hAnsi="Century Gothic"/>
          <w:color w:val="003366"/>
          <w:sz w:val="20"/>
        </w:rPr>
        <w:t>a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 o intend</w:t>
      </w:r>
      <w:r w:rsidR="00D239D0" w:rsidRPr="00AA0EC4">
        <w:rPr>
          <w:rFonts w:ascii="Century Gothic" w:eastAsia="Calibri" w:hAnsi="Century Gothic"/>
          <w:color w:val="003366"/>
          <w:sz w:val="20"/>
        </w:rPr>
        <w:t>e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 </w:t>
      </w:r>
      <w:r w:rsidR="009138D7" w:rsidRPr="00AA0EC4">
        <w:rPr>
          <w:rFonts w:ascii="Century Gothic" w:eastAsia="Calibri" w:hAnsi="Century Gothic"/>
          <w:color w:val="003366"/>
          <w:sz w:val="20"/>
        </w:rPr>
        <w:t>attivarsi</w:t>
      </w:r>
      <w:r w:rsidR="009633C2" w:rsidRPr="00AA0EC4">
        <w:rPr>
          <w:rFonts w:ascii="Century Gothic" w:eastAsia="Calibri" w:hAnsi="Century Gothic"/>
          <w:color w:val="003366"/>
          <w:sz w:val="20"/>
        </w:rPr>
        <w:t xml:space="preserve"> sui programmi del</w:t>
      </w:r>
      <w:r w:rsidR="009633C2">
        <w:rPr>
          <w:rFonts w:ascii="Century Gothic" w:eastAsia="Calibri" w:hAnsi="Century Gothic"/>
          <w:color w:val="003366"/>
          <w:sz w:val="20"/>
        </w:rPr>
        <w:t xml:space="preserve"> </w:t>
      </w:r>
      <w:r w:rsidR="007C234A" w:rsidRPr="00293095">
        <w:rPr>
          <w:rFonts w:ascii="Century Gothic" w:eastAsia="Calibri" w:hAnsi="Century Gothic"/>
          <w:color w:val="003366"/>
          <w:sz w:val="20"/>
        </w:rPr>
        <w:t>PNRR</w:t>
      </w:r>
      <w:r w:rsidR="009633C2" w:rsidRPr="00293095">
        <w:rPr>
          <w:rFonts w:ascii="Century Gothic" w:eastAsia="Calibri" w:hAnsi="Century Gothic"/>
          <w:color w:val="003366"/>
          <w:sz w:val="20"/>
        </w:rPr>
        <w:t>,</w:t>
      </w:r>
      <w:r w:rsidR="009633C2">
        <w:rPr>
          <w:rFonts w:ascii="Century Gothic" w:eastAsia="Calibri" w:hAnsi="Century Gothic"/>
          <w:color w:val="003366"/>
          <w:sz w:val="20"/>
        </w:rPr>
        <w:t xml:space="preserve"> ma </w:t>
      </w:r>
      <w:r w:rsidR="00D239D0">
        <w:rPr>
          <w:rFonts w:ascii="Century Gothic" w:eastAsia="Calibri" w:hAnsi="Century Gothic"/>
          <w:color w:val="003366"/>
          <w:sz w:val="20"/>
        </w:rPr>
        <w:t xml:space="preserve">la burocrazia </w:t>
      </w:r>
      <w:r w:rsidR="003F4F7B">
        <w:rPr>
          <w:rFonts w:ascii="Century Gothic" w:eastAsia="Calibri" w:hAnsi="Century Gothic"/>
          <w:color w:val="003366"/>
          <w:sz w:val="20"/>
        </w:rPr>
        <w:t>è il principale ostacolo per</w:t>
      </w:r>
      <w:r w:rsidR="005717E7">
        <w:rPr>
          <w:rFonts w:ascii="Century Gothic" w:eastAsia="Calibri" w:hAnsi="Century Gothic"/>
          <w:color w:val="003366"/>
          <w:sz w:val="20"/>
        </w:rPr>
        <w:t xml:space="preserve"> l’altra metà che non prevede di avvalersi </w:t>
      </w:r>
      <w:r w:rsidR="0073088B">
        <w:rPr>
          <w:rFonts w:ascii="Century Gothic" w:eastAsia="Calibri" w:hAnsi="Century Gothic"/>
          <w:color w:val="003366"/>
          <w:sz w:val="20"/>
        </w:rPr>
        <w:t>del Piano</w:t>
      </w:r>
      <w:r w:rsidR="00D239D0">
        <w:rPr>
          <w:rFonts w:ascii="Century Gothic" w:eastAsia="Calibri" w:hAnsi="Century Gothic"/>
          <w:color w:val="003366"/>
          <w:sz w:val="20"/>
        </w:rPr>
        <w:t>.</w:t>
      </w:r>
      <w:r w:rsidR="00821AC1">
        <w:rPr>
          <w:rFonts w:ascii="Century Gothic" w:eastAsia="Calibri" w:hAnsi="Century Gothic"/>
          <w:color w:val="003366"/>
          <w:sz w:val="20"/>
        </w:rPr>
        <w:t xml:space="preserve"> </w:t>
      </w:r>
    </w:p>
    <w:bookmarkEnd w:id="2"/>
    <w:p w14:paraId="38D8C65E" w14:textId="77777777" w:rsidR="00106804" w:rsidRDefault="00106804" w:rsidP="000662C4">
      <w:pPr>
        <w:spacing w:line="276" w:lineRule="auto"/>
        <w:rPr>
          <w:rFonts w:ascii="Century Gothic" w:hAnsi="Century Gothic" w:cs="Calibri"/>
          <w:color w:val="003366"/>
          <w:sz w:val="20"/>
        </w:rPr>
      </w:pPr>
    </w:p>
    <w:p w14:paraId="4680AF29" w14:textId="350B0E4E" w:rsidR="000662C4" w:rsidRDefault="00683580" w:rsidP="000662C4">
      <w:pPr>
        <w:spacing w:line="276" w:lineRule="auto"/>
        <w:rPr>
          <w:rFonts w:ascii="Century Gothic" w:hAnsi="Century Gothic" w:cs="Calibri"/>
          <w:color w:val="003366"/>
          <w:sz w:val="20"/>
        </w:rPr>
      </w:pPr>
      <w:r w:rsidRPr="008C3099">
        <w:rPr>
          <w:rFonts w:ascii="Century Gothic" w:hAnsi="Century Gothic" w:cs="Calibri"/>
          <w:color w:val="003366"/>
          <w:sz w:val="20"/>
        </w:rPr>
        <w:t>È</w:t>
      </w:r>
      <w:r w:rsidR="00106804">
        <w:rPr>
          <w:rFonts w:ascii="Century Gothic" w:hAnsi="Century Gothic" w:cs="Calibri"/>
          <w:color w:val="003366"/>
          <w:sz w:val="20"/>
        </w:rPr>
        <w:t xml:space="preserve"> questo</w:t>
      </w:r>
      <w:r w:rsidRPr="008C3099">
        <w:rPr>
          <w:rFonts w:ascii="Century Gothic" w:hAnsi="Century Gothic" w:cs="Calibri"/>
          <w:color w:val="003366"/>
          <w:sz w:val="20"/>
        </w:rPr>
        <w:t xml:space="preserve"> </w:t>
      </w:r>
      <w:bookmarkStart w:id="3" w:name="_Hlk138675039"/>
      <w:r w:rsidRPr="008C3099">
        <w:rPr>
          <w:rFonts w:ascii="Century Gothic" w:hAnsi="Century Gothic" w:cs="Calibri"/>
          <w:b/>
          <w:bCs/>
          <w:color w:val="003366"/>
          <w:sz w:val="20"/>
        </w:rPr>
        <w:t xml:space="preserve">l’identikit delle medie imprese industriali italiane </w:t>
      </w:r>
      <w:r w:rsidRPr="008C3099">
        <w:rPr>
          <w:rFonts w:ascii="Century Gothic" w:hAnsi="Century Gothic" w:cs="Calibri"/>
          <w:color w:val="003366"/>
          <w:sz w:val="20"/>
        </w:rPr>
        <w:t xml:space="preserve">messo a fuoco nel </w:t>
      </w:r>
      <w:r w:rsidRPr="00BA6306">
        <w:rPr>
          <w:rFonts w:ascii="Century Gothic" w:hAnsi="Century Gothic" w:cs="Calibri"/>
          <w:b/>
          <w:bCs/>
          <w:color w:val="003366"/>
          <w:sz w:val="20"/>
        </w:rPr>
        <w:t>XXII Rapporto</w:t>
      </w:r>
      <w:r w:rsidRPr="008C3099">
        <w:rPr>
          <w:rFonts w:ascii="Century Gothic" w:hAnsi="Century Gothic" w:cs="Calibri"/>
          <w:color w:val="003366"/>
          <w:sz w:val="20"/>
        </w:rPr>
        <w:t xml:space="preserve"> a loro dedicato </w:t>
      </w:r>
      <w:bookmarkStart w:id="4" w:name="_Hlk138674851"/>
      <w:r w:rsidRPr="008C3099">
        <w:rPr>
          <w:rFonts w:ascii="Century Gothic" w:hAnsi="Century Gothic" w:cs="Calibri"/>
          <w:color w:val="003366"/>
          <w:sz w:val="20"/>
        </w:rPr>
        <w:t>dall’Area Studi Mediobanca, Unioncamere e dal Centro Studi Taglia</w:t>
      </w:r>
      <w:bookmarkEnd w:id="4"/>
      <w:r w:rsidRPr="008C3099">
        <w:rPr>
          <w:rFonts w:ascii="Century Gothic" w:hAnsi="Century Gothic" w:cs="Calibri"/>
          <w:color w:val="003366"/>
          <w:sz w:val="20"/>
        </w:rPr>
        <w:t>carne presentato oggi a Milano.</w:t>
      </w:r>
      <w:r w:rsidR="000662C4">
        <w:rPr>
          <w:rFonts w:ascii="Century Gothic" w:hAnsi="Century Gothic" w:cs="Calibri"/>
          <w:color w:val="003366"/>
          <w:sz w:val="20"/>
        </w:rPr>
        <w:t xml:space="preserve"> </w:t>
      </w:r>
      <w:r w:rsidR="00CC56EF" w:rsidRPr="004E11F0">
        <w:rPr>
          <w:rFonts w:ascii="Century Gothic" w:hAnsi="Century Gothic" w:cs="Calibri"/>
          <w:color w:val="003366"/>
          <w:sz w:val="20"/>
        </w:rPr>
        <w:t>Si tratta di 3.660 imprese manifatturiere a contro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llo </w:t>
      </w:r>
      <w:r w:rsidR="006F7498" w:rsidRPr="004E11F0">
        <w:rPr>
          <w:rFonts w:ascii="Century Gothic" w:hAnsi="Century Gothic" w:cs="Calibri"/>
          <w:color w:val="003366"/>
          <w:sz w:val="20"/>
        </w:rPr>
        <w:t xml:space="preserve">familiare 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italiano con fatturato compreso tra 17 e 370 milioni di euro e una forza lavoro tra i 50 e i 499 addetti. </w:t>
      </w:r>
      <w:r w:rsidR="00E036E5" w:rsidRPr="004E11F0">
        <w:rPr>
          <w:rFonts w:ascii="Century Gothic" w:hAnsi="Century Gothic" w:cs="Calibri"/>
          <w:color w:val="003366"/>
          <w:sz w:val="20"/>
        </w:rPr>
        <w:t>Un ecosistema che nel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 2021 </w:t>
      </w:r>
      <w:r w:rsidR="00E036E5" w:rsidRPr="004E11F0">
        <w:rPr>
          <w:rFonts w:ascii="Century Gothic" w:hAnsi="Century Gothic" w:cs="Calibri"/>
          <w:color w:val="003366"/>
          <w:sz w:val="20"/>
        </w:rPr>
        <w:t>ha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 realizzato vendite aggregate pari a 184,1 </w:t>
      </w:r>
      <w:r w:rsidR="004B0FB9">
        <w:rPr>
          <w:rFonts w:ascii="Century Gothic" w:hAnsi="Century Gothic" w:cs="Calibri"/>
          <w:color w:val="003366"/>
          <w:sz w:val="20"/>
        </w:rPr>
        <w:t>miliardi</w:t>
      </w:r>
      <w:r w:rsidR="004B0FB9" w:rsidRPr="004E11F0">
        <w:rPr>
          <w:rFonts w:ascii="Century Gothic" w:hAnsi="Century Gothic" w:cs="Calibri"/>
          <w:color w:val="003366"/>
          <w:sz w:val="20"/>
        </w:rPr>
        <w:t xml:space="preserve"> </w:t>
      </w:r>
      <w:r w:rsidR="00712D87" w:rsidRPr="004E11F0">
        <w:rPr>
          <w:rFonts w:ascii="Century Gothic" w:hAnsi="Century Gothic" w:cs="Calibri"/>
          <w:color w:val="003366"/>
          <w:sz w:val="20"/>
        </w:rPr>
        <w:t>di euro</w:t>
      </w:r>
      <w:r w:rsidR="006F7498" w:rsidRPr="004E11F0">
        <w:rPr>
          <w:rFonts w:ascii="Century Gothic" w:hAnsi="Century Gothic" w:cs="Calibri"/>
          <w:color w:val="003366"/>
          <w:sz w:val="20"/>
        </w:rPr>
        <w:t>,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 occupa</w:t>
      </w:r>
      <w:r w:rsidR="006F7498" w:rsidRPr="004E11F0">
        <w:rPr>
          <w:rFonts w:ascii="Century Gothic" w:hAnsi="Century Gothic" w:cs="Calibri"/>
          <w:color w:val="003366"/>
          <w:sz w:val="20"/>
        </w:rPr>
        <w:t>ndo</w:t>
      </w:r>
      <w:r w:rsidR="00712D87" w:rsidRPr="004E11F0">
        <w:rPr>
          <w:rFonts w:ascii="Century Gothic" w:hAnsi="Century Gothic" w:cs="Calibri"/>
          <w:color w:val="003366"/>
          <w:sz w:val="20"/>
        </w:rPr>
        <w:t xml:space="preserve"> oltre 523mila dipendenti.</w:t>
      </w:r>
      <w:r w:rsidR="00712D87">
        <w:rPr>
          <w:rFonts w:ascii="Century Gothic" w:hAnsi="Century Gothic" w:cs="Calibri"/>
          <w:color w:val="003366"/>
          <w:sz w:val="20"/>
        </w:rPr>
        <w:t xml:space="preserve"> </w:t>
      </w:r>
      <w:r w:rsidR="000662C4" w:rsidRPr="00FD2B65">
        <w:rPr>
          <w:rFonts w:ascii="Century Gothic" w:hAnsi="Century Gothic" w:cs="Calibri"/>
          <w:b/>
          <w:bCs/>
          <w:color w:val="003366"/>
          <w:sz w:val="20"/>
        </w:rPr>
        <w:t>L’indagine</w:t>
      </w:r>
      <w:r w:rsidR="00BE4499">
        <w:rPr>
          <w:rFonts w:ascii="Century Gothic" w:hAnsi="Century Gothic" w:cs="Calibri"/>
          <w:b/>
          <w:bCs/>
          <w:color w:val="003366"/>
          <w:sz w:val="20"/>
        </w:rPr>
        <w:t xml:space="preserve"> </w:t>
      </w:r>
      <w:r w:rsidR="006F7498">
        <w:rPr>
          <w:rFonts w:ascii="Century Gothic" w:hAnsi="Century Gothic" w:cs="Calibri"/>
          <w:b/>
          <w:bCs/>
          <w:color w:val="003366"/>
          <w:sz w:val="20"/>
        </w:rPr>
        <w:t>economico-finanzi</w:t>
      </w:r>
      <w:r w:rsidR="001F3780">
        <w:rPr>
          <w:rFonts w:ascii="Century Gothic" w:hAnsi="Century Gothic" w:cs="Calibri"/>
          <w:b/>
          <w:bCs/>
          <w:color w:val="003366"/>
          <w:sz w:val="20"/>
        </w:rPr>
        <w:t>a</w:t>
      </w:r>
      <w:r w:rsidR="006F7498">
        <w:rPr>
          <w:rFonts w:ascii="Century Gothic" w:hAnsi="Century Gothic" w:cs="Calibri"/>
          <w:b/>
          <w:bCs/>
          <w:color w:val="003366"/>
          <w:sz w:val="20"/>
        </w:rPr>
        <w:t>ria</w:t>
      </w:r>
      <w:r w:rsidR="000662C4" w:rsidRPr="00FD2B65">
        <w:rPr>
          <w:rFonts w:ascii="Century Gothic" w:hAnsi="Century Gothic" w:cs="Calibri"/>
          <w:b/>
          <w:bCs/>
          <w:color w:val="003366"/>
          <w:sz w:val="20"/>
        </w:rPr>
        <w:t xml:space="preserve"> è arricchita da un Paper</w:t>
      </w:r>
      <w:r w:rsidR="000662C4">
        <w:rPr>
          <w:rFonts w:ascii="Century Gothic" w:hAnsi="Century Gothic" w:cs="Calibri"/>
          <w:color w:val="003366"/>
          <w:sz w:val="20"/>
        </w:rPr>
        <w:t xml:space="preserve"> contenente informazioni di </w:t>
      </w:r>
      <w:r w:rsidR="006F7498">
        <w:rPr>
          <w:rFonts w:ascii="Century Gothic" w:hAnsi="Century Gothic" w:cs="Calibri"/>
          <w:color w:val="003366"/>
          <w:sz w:val="20"/>
        </w:rPr>
        <w:t>natura</w:t>
      </w:r>
      <w:r w:rsidR="000662C4">
        <w:rPr>
          <w:rFonts w:ascii="Century Gothic" w:hAnsi="Century Gothic" w:cs="Calibri"/>
          <w:color w:val="003366"/>
          <w:sz w:val="20"/>
        </w:rPr>
        <w:t xml:space="preserve"> congiunturale, previsionale e strutturale provenienti da due survey condotte dai rispettivi centri studi</w:t>
      </w:r>
      <w:bookmarkEnd w:id="3"/>
      <w:r w:rsidR="000662C4">
        <w:rPr>
          <w:rFonts w:ascii="Century Gothic" w:hAnsi="Century Gothic" w:cs="Calibri"/>
          <w:color w:val="003366"/>
          <w:sz w:val="20"/>
        </w:rPr>
        <w:t>. Tutta la documentazione è</w:t>
      </w:r>
      <w:r w:rsidR="000662C4" w:rsidRPr="000662C4">
        <w:rPr>
          <w:rFonts w:ascii="Century Gothic" w:hAnsi="Century Gothic" w:cs="Calibri"/>
          <w:color w:val="003366"/>
          <w:sz w:val="20"/>
        </w:rPr>
        <w:t xml:space="preserve"> disponibile per il download sui siti</w:t>
      </w:r>
      <w:r w:rsidR="000662C4">
        <w:rPr>
          <w:rFonts w:ascii="Century Gothic" w:hAnsi="Century Gothic" w:cs="Calibri"/>
          <w:color w:val="003366"/>
          <w:sz w:val="20"/>
        </w:rPr>
        <w:t xml:space="preserve">: </w:t>
      </w:r>
      <w:hyperlink r:id="rId8" w:history="1">
        <w:r w:rsidR="00131776" w:rsidRPr="00131776">
          <w:rPr>
            <w:rStyle w:val="Collegamentoipertestuale"/>
            <w:rFonts w:ascii="Century Gothic" w:hAnsi="Century Gothic" w:cs="Calibri"/>
            <w:sz w:val="20"/>
          </w:rPr>
          <w:t>www.areastudimediobanca.com</w:t>
        </w:r>
      </w:hyperlink>
      <w:r w:rsidR="000662C4">
        <w:rPr>
          <w:rFonts w:ascii="Century Gothic" w:hAnsi="Century Gothic" w:cs="Calibri"/>
          <w:color w:val="003366"/>
          <w:sz w:val="20"/>
        </w:rPr>
        <w:t xml:space="preserve">, </w:t>
      </w:r>
      <w:hyperlink r:id="rId9" w:history="1">
        <w:r w:rsidR="000662C4" w:rsidRPr="002574B0">
          <w:rPr>
            <w:rStyle w:val="Collegamentoipertestuale"/>
            <w:rFonts w:ascii="Century Gothic" w:hAnsi="Century Gothic" w:cs="Calibri"/>
            <w:sz w:val="20"/>
          </w:rPr>
          <w:t>www.unioncamere.gov.it</w:t>
        </w:r>
      </w:hyperlink>
      <w:r w:rsidR="000662C4">
        <w:rPr>
          <w:rFonts w:ascii="Century Gothic" w:hAnsi="Century Gothic" w:cs="Calibri"/>
          <w:color w:val="003366"/>
          <w:sz w:val="20"/>
        </w:rPr>
        <w:t xml:space="preserve">, </w:t>
      </w:r>
      <w:hyperlink r:id="rId10" w:history="1">
        <w:r w:rsidR="000662C4" w:rsidRPr="002574B0">
          <w:rPr>
            <w:rStyle w:val="Collegamentoipertestuale"/>
            <w:rFonts w:ascii="Century Gothic" w:hAnsi="Century Gothic" w:cs="Calibri"/>
            <w:sz w:val="20"/>
          </w:rPr>
          <w:t>www.tagliacarne.it</w:t>
        </w:r>
      </w:hyperlink>
    </w:p>
    <w:p w14:paraId="26E7E263" w14:textId="51CCA391" w:rsidR="008317F0" w:rsidRDefault="008317F0" w:rsidP="000662C4">
      <w:pPr>
        <w:spacing w:line="276" w:lineRule="auto"/>
        <w:rPr>
          <w:rFonts w:ascii="Century Gothic" w:hAnsi="Century Gothic" w:cs="Calibri"/>
          <w:color w:val="003366"/>
          <w:sz w:val="20"/>
        </w:rPr>
      </w:pPr>
    </w:p>
    <w:p w14:paraId="6BBA286B" w14:textId="125366A3" w:rsidR="008317F0" w:rsidRPr="008C3099" w:rsidRDefault="008317F0" w:rsidP="008317F0">
      <w:pPr>
        <w:spacing w:line="276" w:lineRule="auto"/>
        <w:jc w:val="center"/>
        <w:rPr>
          <w:rFonts w:ascii="Century Gothic" w:hAnsi="Century Gothic" w:cs="Calibri"/>
          <w:color w:val="003366"/>
          <w:sz w:val="20"/>
        </w:rPr>
      </w:pPr>
      <w:r>
        <w:rPr>
          <w:rFonts w:ascii="Century Gothic" w:hAnsi="Century Gothic" w:cs="Calibri"/>
          <w:color w:val="003366"/>
          <w:sz w:val="20"/>
        </w:rPr>
        <w:t>***</w:t>
      </w:r>
    </w:p>
    <w:p w14:paraId="5C2DB569" w14:textId="77777777" w:rsidR="00E65CD7" w:rsidRPr="008C3099" w:rsidRDefault="00E65CD7" w:rsidP="008C3099">
      <w:pPr>
        <w:spacing w:line="276" w:lineRule="auto"/>
        <w:rPr>
          <w:rFonts w:ascii="Century Gothic" w:hAnsi="Century Gothic" w:cs="Calibri"/>
          <w:color w:val="003366"/>
          <w:sz w:val="20"/>
        </w:rPr>
      </w:pPr>
    </w:p>
    <w:p w14:paraId="791023E4" w14:textId="0CCBB2B3" w:rsidR="00683580" w:rsidRPr="00F835AD" w:rsidRDefault="006F7498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DD580E">
        <w:rPr>
          <w:rFonts w:ascii="Century Gothic" w:hAnsi="Century Gothic" w:cs="Calibri"/>
          <w:b/>
          <w:i/>
          <w:iCs/>
          <w:color w:val="003366"/>
          <w:sz w:val="20"/>
        </w:rPr>
        <w:t>“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I molti shock del post Lehman hanno fatto emergere la rilevanza dei capitali strategici, e di quello </w:t>
      </w:r>
      <w:r w:rsidR="005A0D01" w:rsidRPr="00925D96">
        <w:rPr>
          <w:rFonts w:ascii="Century Gothic" w:hAnsi="Century Gothic" w:cs="Calibri"/>
          <w:bCs/>
          <w:color w:val="003366"/>
          <w:sz w:val="20"/>
        </w:rPr>
        <w:t>U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>mano in particolare, come fattor</w:t>
      </w:r>
      <w:r w:rsidR="007277D2" w:rsidRPr="00925D96">
        <w:rPr>
          <w:rFonts w:ascii="Century Gothic" w:hAnsi="Century Gothic" w:cs="Calibri"/>
          <w:bCs/>
          <w:color w:val="003366"/>
          <w:sz w:val="20"/>
        </w:rPr>
        <w:t>i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 chiave che consent</w:t>
      </w:r>
      <w:r w:rsidR="007277D2" w:rsidRPr="00925D96">
        <w:rPr>
          <w:rFonts w:ascii="Century Gothic" w:hAnsi="Century Gothic" w:cs="Calibri"/>
          <w:bCs/>
          <w:color w:val="003366"/>
          <w:sz w:val="20"/>
        </w:rPr>
        <w:t>ono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 di cogliere le opportunità offerte da un contesto rischioso e incerto. Il </w:t>
      </w:r>
      <w:r w:rsidR="005A0D01" w:rsidRPr="00925D96">
        <w:rPr>
          <w:rFonts w:ascii="Century Gothic" w:hAnsi="Century Gothic" w:cs="Calibri"/>
          <w:bCs/>
          <w:color w:val="003366"/>
          <w:sz w:val="20"/>
        </w:rPr>
        <w:t>C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>api</w:t>
      </w:r>
      <w:r w:rsidR="007277D2" w:rsidRPr="00925D96">
        <w:rPr>
          <w:rFonts w:ascii="Century Gothic" w:hAnsi="Century Gothic" w:cs="Calibri"/>
          <w:bCs/>
          <w:color w:val="003366"/>
          <w:sz w:val="20"/>
        </w:rPr>
        <w:t>tale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5A0D01" w:rsidRPr="00925D96">
        <w:rPr>
          <w:rFonts w:ascii="Century Gothic" w:hAnsi="Century Gothic" w:cs="Calibri"/>
          <w:bCs/>
          <w:color w:val="003366"/>
          <w:sz w:val="20"/>
        </w:rPr>
        <w:t>U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mano premia </w:t>
      </w:r>
      <w:r w:rsidR="007110DE" w:rsidRPr="00925D96">
        <w:rPr>
          <w:rFonts w:ascii="Century Gothic" w:hAnsi="Century Gothic" w:cs="Calibri"/>
          <w:bCs/>
          <w:color w:val="003366"/>
          <w:sz w:val="20"/>
        </w:rPr>
        <w:t>le</w:t>
      </w:r>
      <w:r w:rsidR="00365DBF" w:rsidRPr="00925D96">
        <w:rPr>
          <w:rFonts w:ascii="Century Gothic" w:hAnsi="Century Gothic" w:cs="Calibri"/>
          <w:bCs/>
          <w:color w:val="003366"/>
          <w:sz w:val="20"/>
        </w:rPr>
        <w:t xml:space="preserve"> imprese che lo sanno reperire, trattenere e coltivare, massimizzandone la soddisfazione e quindi il rendimento</w:t>
      </w:r>
      <w:r w:rsidR="004670B0" w:rsidRPr="00925D96">
        <w:rPr>
          <w:rFonts w:ascii="Century Gothic" w:hAnsi="Century Gothic" w:cs="Calibri"/>
          <w:bCs/>
          <w:color w:val="003366"/>
          <w:sz w:val="20"/>
        </w:rPr>
        <w:t>”</w:t>
      </w:r>
      <w:r w:rsidR="00DD580E" w:rsidRPr="00F835AD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DD580E" w:rsidRPr="00925D96">
        <w:rPr>
          <w:rFonts w:ascii="Century Gothic" w:hAnsi="Century Gothic" w:cs="Calibri"/>
          <w:b/>
          <w:color w:val="003366"/>
          <w:sz w:val="20"/>
        </w:rPr>
        <w:t>ha dichiarato</w:t>
      </w:r>
      <w:r w:rsidR="00DD580E" w:rsidRPr="00F835AD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DD580E" w:rsidRPr="00F835AD">
        <w:rPr>
          <w:rFonts w:ascii="Century Gothic" w:hAnsi="Century Gothic" w:cs="Calibri"/>
          <w:b/>
          <w:color w:val="003366"/>
          <w:sz w:val="20"/>
        </w:rPr>
        <w:t>Gabriele Barbaresco, Direttore dell’Area Studi Mediobanca</w:t>
      </w:r>
      <w:r w:rsidR="00DD580E" w:rsidRPr="00F835AD">
        <w:rPr>
          <w:rFonts w:ascii="Century Gothic" w:hAnsi="Century Gothic" w:cs="Calibri"/>
          <w:bCs/>
          <w:color w:val="003366"/>
          <w:sz w:val="20"/>
        </w:rPr>
        <w:t>.</w:t>
      </w:r>
    </w:p>
    <w:p w14:paraId="583EB770" w14:textId="77777777" w:rsidR="00683580" w:rsidRPr="008C3099" w:rsidRDefault="00683580" w:rsidP="008C3099">
      <w:pPr>
        <w:spacing w:line="276" w:lineRule="auto"/>
        <w:rPr>
          <w:rFonts w:ascii="Century Gothic" w:hAnsi="Century Gothic" w:cs="Calibri"/>
          <w:color w:val="003366"/>
          <w:sz w:val="20"/>
        </w:rPr>
      </w:pPr>
    </w:p>
    <w:p w14:paraId="66477911" w14:textId="30D28D4F" w:rsidR="008C1D99" w:rsidRPr="00925D96" w:rsidRDefault="008C1D99" w:rsidP="008C3099">
      <w:pPr>
        <w:spacing w:line="276" w:lineRule="auto"/>
        <w:rPr>
          <w:rFonts w:ascii="Century Gothic" w:hAnsi="Century Gothic" w:cs="Calibri"/>
          <w:b/>
          <w:bCs/>
          <w:color w:val="003366"/>
          <w:sz w:val="20"/>
        </w:rPr>
      </w:pPr>
      <w:r w:rsidRPr="00033408">
        <w:rPr>
          <w:rFonts w:ascii="Century Gothic" w:hAnsi="Century Gothic" w:cs="Calibri"/>
          <w:color w:val="003366"/>
          <w:sz w:val="20"/>
        </w:rPr>
        <w:lastRenderedPageBreak/>
        <w:t xml:space="preserve">“Le medie imprese si stanno dimostrando più competitive delle altre realtà imprenditoriali, anche perché sono maggiormente consapevoli della necessità di dovere accompagnare il loro percorso di innovazione con la formazione del </w:t>
      </w:r>
      <w:r w:rsidR="00024465">
        <w:rPr>
          <w:rFonts w:ascii="Century Gothic" w:hAnsi="Century Gothic" w:cs="Calibri"/>
          <w:color w:val="003366"/>
          <w:sz w:val="20"/>
        </w:rPr>
        <w:t>C</w:t>
      </w:r>
      <w:r w:rsidRPr="00033408">
        <w:rPr>
          <w:rFonts w:ascii="Century Gothic" w:hAnsi="Century Gothic" w:cs="Calibri"/>
          <w:color w:val="003366"/>
          <w:sz w:val="20"/>
        </w:rPr>
        <w:t xml:space="preserve">apitale </w:t>
      </w:r>
      <w:r w:rsidR="00024465">
        <w:rPr>
          <w:rFonts w:ascii="Century Gothic" w:hAnsi="Century Gothic" w:cs="Calibri"/>
          <w:color w:val="003366"/>
          <w:sz w:val="20"/>
        </w:rPr>
        <w:t>U</w:t>
      </w:r>
      <w:r w:rsidRPr="00033408">
        <w:rPr>
          <w:rFonts w:ascii="Century Gothic" w:hAnsi="Century Gothic" w:cs="Calibri"/>
          <w:color w:val="003366"/>
          <w:sz w:val="20"/>
        </w:rPr>
        <w:t xml:space="preserve">mano impiegato per sfruttare al meglio le opportunità di sviluppo offerte dalla </w:t>
      </w:r>
      <w:r w:rsidR="00024465">
        <w:rPr>
          <w:rFonts w:ascii="Century Gothic" w:hAnsi="Century Gothic" w:cs="Calibri"/>
          <w:color w:val="003366"/>
          <w:sz w:val="20"/>
        </w:rPr>
        <w:t>D</w:t>
      </w:r>
      <w:r w:rsidRPr="00033408">
        <w:rPr>
          <w:rFonts w:ascii="Century Gothic" w:hAnsi="Century Gothic" w:cs="Calibri"/>
          <w:color w:val="003366"/>
          <w:sz w:val="20"/>
        </w:rPr>
        <w:t xml:space="preserve">uplice </w:t>
      </w:r>
      <w:r w:rsidR="00024465">
        <w:rPr>
          <w:rFonts w:ascii="Century Gothic" w:hAnsi="Century Gothic" w:cs="Calibri"/>
          <w:color w:val="003366"/>
          <w:sz w:val="20"/>
        </w:rPr>
        <w:t>T</w:t>
      </w:r>
      <w:r w:rsidRPr="00033408">
        <w:rPr>
          <w:rFonts w:ascii="Century Gothic" w:hAnsi="Century Gothic" w:cs="Calibri"/>
          <w:color w:val="003366"/>
          <w:sz w:val="20"/>
        </w:rPr>
        <w:t>ransizione</w:t>
      </w:r>
      <w:r w:rsidR="00024465">
        <w:rPr>
          <w:rFonts w:ascii="Century Gothic" w:hAnsi="Century Gothic" w:cs="Calibri"/>
          <w:color w:val="003366"/>
          <w:sz w:val="20"/>
        </w:rPr>
        <w:t>,</w:t>
      </w:r>
      <w:r w:rsidRPr="00033408">
        <w:rPr>
          <w:rFonts w:ascii="Century Gothic" w:hAnsi="Century Gothic" w:cs="Calibri"/>
          <w:color w:val="003366"/>
          <w:sz w:val="20"/>
        </w:rPr>
        <w:t xml:space="preserve"> digitale e green”. </w:t>
      </w:r>
      <w:r w:rsidRPr="00033408">
        <w:rPr>
          <w:rFonts w:ascii="Century Gothic" w:hAnsi="Century Gothic" w:cs="Calibri"/>
          <w:b/>
          <w:bCs/>
          <w:color w:val="003366"/>
          <w:sz w:val="20"/>
        </w:rPr>
        <w:t>Lo ha detto il Presidente di Unioncamere, Andrea Prete</w:t>
      </w:r>
      <w:r w:rsidRPr="008C1D99">
        <w:rPr>
          <w:rFonts w:ascii="Century Gothic" w:hAnsi="Century Gothic" w:cs="Calibri"/>
          <w:b/>
          <w:bCs/>
          <w:color w:val="003366"/>
          <w:sz w:val="20"/>
        </w:rPr>
        <w:t>,</w:t>
      </w:r>
      <w:r w:rsidRPr="00033408">
        <w:rPr>
          <w:rFonts w:ascii="Century Gothic" w:hAnsi="Century Gothic" w:cs="Calibri"/>
          <w:color w:val="003366"/>
          <w:sz w:val="20"/>
        </w:rPr>
        <w:t xml:space="preserve"> che ha aggiunto “puntare sulla formazione è strategico anche per rispondere alla crescente difficoltà di reperimento di figure professionali con le skill adeguate che interessa quasi la metà delle ricerche e per abbattere quelle barriere culturali che oggi rischiano di frenare gli investimenti nella Twin </w:t>
      </w:r>
      <w:proofErr w:type="spellStart"/>
      <w:r w:rsidR="006B363B">
        <w:rPr>
          <w:rFonts w:ascii="Century Gothic" w:hAnsi="Century Gothic" w:cs="Calibri"/>
          <w:color w:val="003366"/>
          <w:sz w:val="20"/>
        </w:rPr>
        <w:t>T</w:t>
      </w:r>
      <w:r w:rsidRPr="00033408">
        <w:rPr>
          <w:rFonts w:ascii="Century Gothic" w:hAnsi="Century Gothic" w:cs="Calibri"/>
          <w:color w:val="003366"/>
          <w:sz w:val="20"/>
        </w:rPr>
        <w:t>ransition</w:t>
      </w:r>
      <w:proofErr w:type="spellEnd"/>
      <w:r w:rsidRPr="00033408">
        <w:rPr>
          <w:rFonts w:ascii="Century Gothic" w:hAnsi="Century Gothic" w:cs="Calibri"/>
          <w:color w:val="003366"/>
          <w:sz w:val="20"/>
        </w:rPr>
        <w:t xml:space="preserve">. Ma per questo è indispensabile snellire pure la burocrazia che frena un’ampia platea di imprese a sfruttare i vantaggi del </w:t>
      </w:r>
      <w:r w:rsidR="00033408" w:rsidRPr="00033408">
        <w:rPr>
          <w:rFonts w:ascii="Century Gothic" w:hAnsi="Century Gothic" w:cs="Calibri"/>
          <w:color w:val="003366"/>
          <w:sz w:val="20"/>
        </w:rPr>
        <w:t xml:space="preserve">PNRR </w:t>
      </w:r>
      <w:r w:rsidRPr="00033408">
        <w:rPr>
          <w:rFonts w:ascii="Century Gothic" w:hAnsi="Century Gothic" w:cs="Calibri"/>
          <w:color w:val="003366"/>
          <w:sz w:val="20"/>
        </w:rPr>
        <w:t xml:space="preserve">per finanziare il proprio percorso di cambiamento. In questa ottica </w:t>
      </w:r>
      <w:r>
        <w:rPr>
          <w:rFonts w:ascii="Century Gothic" w:hAnsi="Century Gothic" w:cs="Calibri"/>
          <w:color w:val="003366"/>
          <w:sz w:val="20"/>
        </w:rPr>
        <w:t>il</w:t>
      </w:r>
      <w:r w:rsidRPr="00033408">
        <w:rPr>
          <w:rFonts w:ascii="Century Gothic" w:hAnsi="Century Gothic" w:cs="Calibri"/>
          <w:color w:val="003366"/>
          <w:sz w:val="20"/>
        </w:rPr>
        <w:t xml:space="preserve"> </w:t>
      </w:r>
      <w:r w:rsidR="00033408" w:rsidRPr="00972A42">
        <w:rPr>
          <w:rFonts w:ascii="Century Gothic" w:hAnsi="Century Gothic" w:cs="Calibri"/>
          <w:color w:val="003366"/>
          <w:sz w:val="20"/>
        </w:rPr>
        <w:t>d</w:t>
      </w:r>
      <w:r w:rsidR="00033408">
        <w:rPr>
          <w:rFonts w:ascii="Century Gothic" w:hAnsi="Century Gothic" w:cs="Calibri"/>
          <w:color w:val="003366"/>
          <w:sz w:val="20"/>
        </w:rPr>
        <w:t xml:space="preserve">ecreto </w:t>
      </w:r>
      <w:r w:rsidR="00033408" w:rsidRPr="00972A42">
        <w:rPr>
          <w:rFonts w:ascii="Century Gothic" w:hAnsi="Century Gothic" w:cs="Calibri"/>
          <w:color w:val="003366"/>
          <w:sz w:val="20"/>
        </w:rPr>
        <w:t>l</w:t>
      </w:r>
      <w:r w:rsidR="00033408">
        <w:rPr>
          <w:rFonts w:ascii="Century Gothic" w:hAnsi="Century Gothic" w:cs="Calibri"/>
          <w:color w:val="003366"/>
          <w:sz w:val="20"/>
        </w:rPr>
        <w:t>egislativo</w:t>
      </w:r>
      <w:r w:rsidRPr="00033408">
        <w:rPr>
          <w:rFonts w:ascii="Century Gothic" w:hAnsi="Century Gothic" w:cs="Calibri"/>
          <w:color w:val="003366"/>
          <w:sz w:val="20"/>
        </w:rPr>
        <w:t xml:space="preserve"> sulla semplificazione appena varato, che valorizza tra l’altro il fascicolo informatico di impresa gestito dalle Camere di commercio, è certamente un buon segnale”.</w:t>
      </w:r>
    </w:p>
    <w:p w14:paraId="63EE9A7E" w14:textId="77777777" w:rsidR="00C17433" w:rsidRPr="008C3099" w:rsidRDefault="00C17433" w:rsidP="008C3099">
      <w:pPr>
        <w:spacing w:line="276" w:lineRule="auto"/>
        <w:rPr>
          <w:rFonts w:ascii="Century Gothic" w:hAnsi="Century Gothic" w:cs="Calibri"/>
          <w:b/>
          <w:bCs/>
          <w:color w:val="003366"/>
          <w:sz w:val="20"/>
        </w:rPr>
      </w:pPr>
    </w:p>
    <w:p w14:paraId="7CB5DFEC" w14:textId="6450A8A8" w:rsidR="001B7095" w:rsidRPr="00347224" w:rsidRDefault="00CA3768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 w:rsidRPr="00347224">
        <w:rPr>
          <w:rFonts w:ascii="Century Gothic" w:eastAsia="Calibri" w:hAnsi="Century Gothic"/>
          <w:b/>
          <w:color w:val="003366"/>
          <w:szCs w:val="24"/>
        </w:rPr>
        <w:t xml:space="preserve">Medie imprese </w:t>
      </w:r>
      <w:r w:rsidR="0063741E" w:rsidRPr="00347224">
        <w:rPr>
          <w:rFonts w:ascii="Century Gothic" w:eastAsia="Calibri" w:hAnsi="Century Gothic"/>
          <w:b/>
          <w:color w:val="003366"/>
          <w:szCs w:val="24"/>
        </w:rPr>
        <w:t>dinamiche e flessibili</w:t>
      </w:r>
      <w:r w:rsidRPr="00347224">
        <w:rPr>
          <w:rFonts w:ascii="Century Gothic" w:eastAsia="Calibri" w:hAnsi="Century Gothic"/>
          <w:b/>
          <w:color w:val="003366"/>
          <w:szCs w:val="24"/>
        </w:rPr>
        <w:t>, ma</w:t>
      </w:r>
      <w:r w:rsidR="008A50C7" w:rsidRPr="00347224">
        <w:rPr>
          <w:rFonts w:ascii="Century Gothic" w:eastAsia="Calibri" w:hAnsi="Century Gothic"/>
          <w:b/>
          <w:color w:val="003366"/>
          <w:szCs w:val="24"/>
        </w:rPr>
        <w:t xml:space="preserve"> in alcuni ambiti</w:t>
      </w:r>
      <w:r w:rsidRPr="00347224">
        <w:rPr>
          <w:rFonts w:ascii="Century Gothic" w:eastAsia="Calibri" w:hAnsi="Century Gothic"/>
          <w:b/>
          <w:color w:val="003366"/>
          <w:szCs w:val="24"/>
        </w:rPr>
        <w:t xml:space="preserve"> crescere p</w:t>
      </w:r>
      <w:r w:rsidR="008507B7" w:rsidRPr="00347224">
        <w:rPr>
          <w:rFonts w:ascii="Century Gothic" w:eastAsia="Calibri" w:hAnsi="Century Gothic"/>
          <w:b/>
          <w:color w:val="003366"/>
          <w:szCs w:val="24"/>
        </w:rPr>
        <w:t>otrebbe</w:t>
      </w:r>
      <w:r w:rsidRPr="00347224">
        <w:rPr>
          <w:rFonts w:ascii="Century Gothic" w:eastAsia="Calibri" w:hAnsi="Century Gothic"/>
          <w:b/>
          <w:color w:val="003366"/>
          <w:szCs w:val="24"/>
        </w:rPr>
        <w:t xml:space="preserve"> essere utile</w:t>
      </w:r>
      <w:r w:rsidR="00DE19A1" w:rsidRPr="00347224">
        <w:rPr>
          <w:rFonts w:ascii="Century Gothic" w:eastAsia="Calibri" w:hAnsi="Century Gothic"/>
          <w:b/>
          <w:color w:val="003366"/>
          <w:szCs w:val="24"/>
        </w:rPr>
        <w:t xml:space="preserve"> </w:t>
      </w:r>
    </w:p>
    <w:p w14:paraId="685C4B6E" w14:textId="77777777" w:rsidR="0074219E" w:rsidRPr="008C3099" w:rsidRDefault="0074219E" w:rsidP="008C3099">
      <w:pPr>
        <w:spacing w:line="276" w:lineRule="auto"/>
        <w:rPr>
          <w:rFonts w:ascii="Century Gothic" w:hAnsi="Century Gothic" w:cs="Calibri"/>
          <w:b/>
          <w:bCs/>
          <w:color w:val="003366"/>
          <w:sz w:val="20"/>
        </w:rPr>
      </w:pPr>
    </w:p>
    <w:p w14:paraId="45D0D8CE" w14:textId="53248239" w:rsidR="00102C96" w:rsidRPr="008C3099" w:rsidRDefault="00F95D08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8C3099">
        <w:rPr>
          <w:rFonts w:ascii="Century Gothic" w:hAnsi="Century Gothic" w:cs="Calibri"/>
          <w:bCs/>
          <w:color w:val="003366"/>
          <w:sz w:val="20"/>
        </w:rPr>
        <w:t>Dopo i</w:t>
      </w:r>
      <w:r w:rsidR="00F079C2" w:rsidRPr="008C3099">
        <w:rPr>
          <w:rFonts w:ascii="Century Gothic" w:hAnsi="Century Gothic" w:cs="Calibri"/>
          <w:bCs/>
          <w:color w:val="003366"/>
          <w:sz w:val="20"/>
        </w:rPr>
        <w:t xml:space="preserve"> rimbalzi </w:t>
      </w:r>
      <w:r w:rsidRPr="008C3099">
        <w:rPr>
          <w:rFonts w:ascii="Century Gothic" w:hAnsi="Century Gothic" w:cs="Calibri"/>
          <w:bCs/>
          <w:color w:val="003366"/>
          <w:sz w:val="20"/>
        </w:rPr>
        <w:t>del fatturato</w:t>
      </w:r>
      <w:r w:rsidR="00F079C2" w:rsidRPr="008C3099">
        <w:rPr>
          <w:rFonts w:ascii="Century Gothic" w:hAnsi="Century Gothic" w:cs="Calibri"/>
          <w:bCs/>
          <w:color w:val="003366"/>
          <w:sz w:val="20"/>
        </w:rPr>
        <w:t xml:space="preserve"> del 2021 (+20,4%) e del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 202</w:t>
      </w:r>
      <w:r w:rsidR="0063741E" w:rsidRPr="008C3099">
        <w:rPr>
          <w:rFonts w:ascii="Century Gothic" w:hAnsi="Century Gothic" w:cs="Calibri"/>
          <w:bCs/>
          <w:color w:val="003366"/>
          <w:sz w:val="20"/>
        </w:rPr>
        <w:t>2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 (+1</w:t>
      </w:r>
      <w:r w:rsidR="0063741E" w:rsidRPr="008C3099">
        <w:rPr>
          <w:rFonts w:ascii="Century Gothic" w:hAnsi="Century Gothic" w:cs="Calibri"/>
          <w:bCs/>
          <w:color w:val="003366"/>
          <w:sz w:val="20"/>
        </w:rPr>
        <w:t>5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%), le medie imprese manifatturiere italiane affrontano le </w:t>
      </w:r>
      <w:r w:rsidR="00102C96" w:rsidRPr="008C3099">
        <w:rPr>
          <w:rFonts w:ascii="Century Gothic" w:hAnsi="Century Gothic" w:cs="Calibri"/>
          <w:bCs/>
          <w:color w:val="003366"/>
          <w:sz w:val="20"/>
        </w:rPr>
        <w:t xml:space="preserve">incertezze </w:t>
      </w:r>
      <w:r w:rsidR="004670B0">
        <w:rPr>
          <w:rFonts w:ascii="Century Gothic" w:hAnsi="Century Gothic" w:cs="Calibri"/>
          <w:bCs/>
          <w:color w:val="003366"/>
          <w:sz w:val="20"/>
        </w:rPr>
        <w:t>della congiuntura</w:t>
      </w:r>
      <w:r w:rsidR="00102C96" w:rsidRPr="008C3099">
        <w:rPr>
          <w:rFonts w:ascii="Century Gothic" w:hAnsi="Century Gothic" w:cs="Calibri"/>
          <w:bCs/>
          <w:color w:val="003366"/>
          <w:sz w:val="20"/>
        </w:rPr>
        <w:t xml:space="preserve"> forti di una grande capacità di adattamento </w:t>
      </w:r>
      <w:r w:rsidR="00F079C2" w:rsidRPr="008C3099">
        <w:rPr>
          <w:rFonts w:ascii="Century Gothic" w:hAnsi="Century Gothic" w:cs="Calibri"/>
          <w:bCs/>
          <w:color w:val="003366"/>
          <w:sz w:val="20"/>
        </w:rPr>
        <w:t>che le ha rese</w:t>
      </w:r>
      <w:r w:rsidR="00102C96" w:rsidRPr="008C3099">
        <w:rPr>
          <w:rFonts w:ascii="Century Gothic" w:hAnsi="Century Gothic" w:cs="Calibri"/>
          <w:bCs/>
          <w:color w:val="003366"/>
          <w:sz w:val="20"/>
        </w:rPr>
        <w:t xml:space="preserve"> meno sensibil</w:t>
      </w:r>
      <w:r w:rsidR="00F079C2" w:rsidRPr="008C3099">
        <w:rPr>
          <w:rFonts w:ascii="Century Gothic" w:hAnsi="Century Gothic" w:cs="Calibri"/>
          <w:bCs/>
          <w:color w:val="003366"/>
          <w:sz w:val="20"/>
        </w:rPr>
        <w:t>i</w:t>
      </w:r>
      <w:r w:rsidR="00102C96" w:rsidRPr="008C3099">
        <w:rPr>
          <w:rFonts w:ascii="Century Gothic" w:hAnsi="Century Gothic" w:cs="Calibri"/>
          <w:bCs/>
          <w:color w:val="003366"/>
          <w:sz w:val="20"/>
        </w:rPr>
        <w:t xml:space="preserve"> agli shock rispetto al resto dell’economia</w:t>
      </w:r>
      <w:r w:rsidRPr="008C3099">
        <w:rPr>
          <w:rFonts w:ascii="Century Gothic" w:hAnsi="Century Gothic" w:cs="Calibri"/>
          <w:bCs/>
          <w:color w:val="003366"/>
          <w:sz w:val="20"/>
        </w:rPr>
        <w:t>.</w:t>
      </w:r>
      <w:r w:rsidR="00102C96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E036E5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131776">
        <w:rPr>
          <w:rFonts w:ascii="Century Gothic" w:hAnsi="Century Gothic" w:cs="Calibri"/>
          <w:b/>
          <w:color w:val="003366"/>
          <w:sz w:val="20"/>
        </w:rPr>
        <w:t>L</w:t>
      </w:r>
      <w:r w:rsidR="00E036E5">
        <w:rPr>
          <w:rFonts w:ascii="Century Gothic" w:hAnsi="Century Gothic" w:cs="Calibri"/>
          <w:b/>
          <w:color w:val="003366"/>
          <w:sz w:val="20"/>
        </w:rPr>
        <w:t>e aziende ste</w:t>
      </w:r>
      <w:r w:rsidR="004670B0">
        <w:rPr>
          <w:rFonts w:ascii="Century Gothic" w:hAnsi="Century Gothic" w:cs="Calibri"/>
          <w:b/>
          <w:color w:val="003366"/>
          <w:sz w:val="20"/>
        </w:rPr>
        <w:t>sse si attendono</w:t>
      </w:r>
      <w:r w:rsidR="008D23B0" w:rsidRPr="008C3099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4670B0">
        <w:rPr>
          <w:rFonts w:ascii="Century Gothic" w:hAnsi="Century Gothic" w:cs="Calibri"/>
          <w:b/>
          <w:color w:val="003366"/>
          <w:sz w:val="20"/>
        </w:rPr>
        <w:t xml:space="preserve">un progresso </w:t>
      </w:r>
      <w:r w:rsidR="00102C96" w:rsidRPr="008C3099">
        <w:rPr>
          <w:rFonts w:ascii="Century Gothic" w:hAnsi="Century Gothic" w:cs="Calibri"/>
          <w:b/>
          <w:color w:val="003366"/>
          <w:sz w:val="20"/>
        </w:rPr>
        <w:t xml:space="preserve">anche </w:t>
      </w:r>
      <w:r w:rsidR="008D23B0" w:rsidRPr="008C3099">
        <w:rPr>
          <w:rFonts w:ascii="Century Gothic" w:hAnsi="Century Gothic" w:cs="Calibri"/>
          <w:b/>
          <w:color w:val="003366"/>
          <w:sz w:val="20"/>
        </w:rPr>
        <w:t xml:space="preserve">nel </w:t>
      </w:r>
      <w:r w:rsidR="00102C96" w:rsidRPr="008C3099">
        <w:rPr>
          <w:rFonts w:ascii="Century Gothic" w:hAnsi="Century Gothic" w:cs="Calibri"/>
          <w:b/>
          <w:color w:val="003366"/>
          <w:sz w:val="20"/>
        </w:rPr>
        <w:t>2023</w:t>
      </w:r>
      <w:r w:rsidR="00F079C2" w:rsidRPr="008C3099">
        <w:rPr>
          <w:rFonts w:ascii="Century Gothic" w:hAnsi="Century Gothic" w:cs="Calibri"/>
          <w:b/>
          <w:bCs/>
          <w:color w:val="003366"/>
          <w:sz w:val="20"/>
        </w:rPr>
        <w:t xml:space="preserve">, </w:t>
      </w:r>
      <w:r w:rsidR="00102C96" w:rsidRPr="008C3099">
        <w:rPr>
          <w:rFonts w:ascii="Century Gothic" w:hAnsi="Century Gothic" w:cs="Calibri"/>
          <w:b/>
          <w:bCs/>
          <w:color w:val="003366"/>
          <w:sz w:val="20"/>
        </w:rPr>
        <w:t xml:space="preserve">sebbene più </w:t>
      </w:r>
      <w:r w:rsidR="004670B0">
        <w:rPr>
          <w:rFonts w:ascii="Century Gothic" w:hAnsi="Century Gothic" w:cs="Calibri"/>
          <w:b/>
          <w:bCs/>
          <w:color w:val="003366"/>
          <w:sz w:val="20"/>
        </w:rPr>
        <w:t>modesto</w:t>
      </w:r>
      <w:r w:rsidR="00102C96" w:rsidRPr="008C3099">
        <w:rPr>
          <w:rFonts w:ascii="Century Gothic" w:hAnsi="Century Gothic" w:cs="Calibri"/>
          <w:b/>
          <w:bCs/>
          <w:color w:val="003366"/>
          <w:sz w:val="20"/>
        </w:rPr>
        <w:t xml:space="preserve"> (+3,5%)</w:t>
      </w:r>
      <w:r w:rsidR="00102C96" w:rsidRPr="008C3099">
        <w:rPr>
          <w:rFonts w:ascii="Century Gothic" w:hAnsi="Century Gothic" w:cs="Calibri"/>
          <w:color w:val="003366"/>
          <w:sz w:val="20"/>
        </w:rPr>
        <w:t xml:space="preserve">. </w:t>
      </w:r>
      <w:r w:rsidR="00106804">
        <w:rPr>
          <w:rFonts w:ascii="Century Gothic" w:hAnsi="Century Gothic" w:cs="Calibri"/>
          <w:color w:val="003366"/>
          <w:sz w:val="20"/>
        </w:rPr>
        <w:t xml:space="preserve">Le aspettative per gli anni a venire sono ispirate da un ‘ottimismo </w:t>
      </w:r>
      <w:r w:rsidR="00106804" w:rsidRPr="0048711B">
        <w:rPr>
          <w:rFonts w:ascii="Century Gothic" w:hAnsi="Century Gothic" w:cs="Calibri"/>
          <w:color w:val="003366"/>
          <w:sz w:val="20"/>
        </w:rPr>
        <w:t>temperato</w:t>
      </w:r>
      <w:r w:rsidR="00106804">
        <w:rPr>
          <w:rFonts w:ascii="Century Gothic" w:hAnsi="Century Gothic" w:cs="Calibri"/>
          <w:color w:val="003366"/>
          <w:sz w:val="20"/>
        </w:rPr>
        <w:t>’</w:t>
      </w:r>
      <w:r w:rsidR="00106804" w:rsidRPr="00BA4320">
        <w:rPr>
          <w:rFonts w:ascii="Century Gothic" w:hAnsi="Century Gothic" w:cs="Calibri"/>
          <w:color w:val="003366"/>
          <w:sz w:val="20"/>
        </w:rPr>
        <w:t xml:space="preserve">: </w:t>
      </w:r>
      <w:r w:rsidR="00106804" w:rsidRPr="00096C4B">
        <w:rPr>
          <w:rFonts w:ascii="Century Gothic" w:hAnsi="Century Gothic" w:cs="Calibri"/>
          <w:color w:val="003366"/>
          <w:sz w:val="20"/>
        </w:rPr>
        <w:t>il 55% ritiene di poter crescere</w:t>
      </w:r>
      <w:r w:rsidR="00CE7A2D" w:rsidRPr="00E4517C">
        <w:rPr>
          <w:rFonts w:ascii="Century Gothic" w:hAnsi="Century Gothic" w:cs="Calibri"/>
          <w:color w:val="003366"/>
          <w:sz w:val="20"/>
        </w:rPr>
        <w:t>,</w:t>
      </w:r>
      <w:r w:rsidR="00106804" w:rsidRPr="00E4517C">
        <w:rPr>
          <w:rFonts w:ascii="Century Gothic" w:hAnsi="Century Gothic" w:cs="Calibri"/>
          <w:color w:val="003366"/>
          <w:sz w:val="20"/>
        </w:rPr>
        <w:t xml:space="preserve"> ma </w:t>
      </w:r>
      <w:r w:rsidR="0080631B">
        <w:rPr>
          <w:rFonts w:ascii="Century Gothic" w:hAnsi="Century Gothic" w:cs="Calibri"/>
          <w:color w:val="003366"/>
          <w:sz w:val="20"/>
        </w:rPr>
        <w:t>in maniera lieve</w:t>
      </w:r>
      <w:r w:rsidR="00106804" w:rsidRPr="00E4517C">
        <w:rPr>
          <w:rFonts w:ascii="Century Gothic" w:hAnsi="Century Gothic" w:cs="Calibri"/>
          <w:color w:val="003366"/>
          <w:sz w:val="20"/>
        </w:rPr>
        <w:t xml:space="preserve">. Si tratta di un gruppo che </w:t>
      </w:r>
      <w:r w:rsidR="004670B0">
        <w:rPr>
          <w:rFonts w:ascii="Century Gothic" w:hAnsi="Century Gothic" w:cs="Calibri"/>
          <w:color w:val="003366"/>
          <w:sz w:val="20"/>
        </w:rPr>
        <w:t>fa da</w:t>
      </w:r>
      <w:r w:rsidR="00106804" w:rsidRPr="00E4517C">
        <w:rPr>
          <w:rFonts w:ascii="Century Gothic" w:hAnsi="Century Gothic" w:cs="Calibri"/>
          <w:color w:val="003366"/>
          <w:sz w:val="20"/>
        </w:rPr>
        <w:t xml:space="preserve"> spartiacque tra un 25% di aziende ottimiste</w:t>
      </w:r>
      <w:r w:rsidR="005717E7">
        <w:rPr>
          <w:rFonts w:ascii="Century Gothic" w:hAnsi="Century Gothic" w:cs="Calibri"/>
          <w:color w:val="003366"/>
          <w:sz w:val="20"/>
        </w:rPr>
        <w:t>,</w:t>
      </w:r>
      <w:r w:rsidR="00106804" w:rsidRPr="00E4517C">
        <w:rPr>
          <w:rFonts w:ascii="Century Gothic" w:hAnsi="Century Gothic" w:cs="Calibri"/>
          <w:color w:val="003366"/>
          <w:sz w:val="20"/>
        </w:rPr>
        <w:t xml:space="preserve"> che immaginano un futuro in incremento significativo e un 20% che, al meglio, manterrà stabili</w:t>
      </w:r>
      <w:r w:rsidR="004670B0">
        <w:rPr>
          <w:rFonts w:ascii="Century Gothic" w:hAnsi="Century Gothic" w:cs="Calibri"/>
          <w:color w:val="003366"/>
          <w:sz w:val="20"/>
        </w:rPr>
        <w:t xml:space="preserve"> le proprie quote di mercato</w:t>
      </w:r>
      <w:r w:rsidR="00106804" w:rsidRPr="006A33EE">
        <w:rPr>
          <w:rFonts w:ascii="Century Gothic" w:hAnsi="Century Gothic" w:cs="Calibri"/>
          <w:color w:val="003366"/>
          <w:sz w:val="20"/>
        </w:rPr>
        <w:t>.</w:t>
      </w:r>
    </w:p>
    <w:p w14:paraId="695FE879" w14:textId="1F666537" w:rsidR="00102C96" w:rsidRPr="008C3099" w:rsidRDefault="00102C9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1F0327BD" w14:textId="3AB452C8" w:rsidR="005E78DF" w:rsidRPr="00096C4B" w:rsidRDefault="008507B7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8C3099">
        <w:rPr>
          <w:rFonts w:ascii="Century Gothic" w:hAnsi="Century Gothic" w:cs="Calibri"/>
          <w:bCs/>
          <w:color w:val="003366"/>
          <w:sz w:val="20"/>
        </w:rPr>
        <w:t>Rispetto al periodo precedente al Covid e al conflitto russo-ucraino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, </w:t>
      </w:r>
      <w:r w:rsidR="00FD2B65">
        <w:rPr>
          <w:rFonts w:ascii="Century Gothic" w:hAnsi="Century Gothic" w:cs="Calibri"/>
          <w:b/>
          <w:color w:val="003366"/>
          <w:sz w:val="20"/>
        </w:rPr>
        <w:t>l’attuale contesto presenta più rischi che opportunità per il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 37,7% delle medie imprese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 anche perché </w:t>
      </w:r>
      <w:r w:rsidR="00CE7A2D">
        <w:rPr>
          <w:rFonts w:ascii="Century Gothic" w:hAnsi="Century Gothic" w:cs="Calibri"/>
          <w:bCs/>
          <w:color w:val="003366"/>
          <w:sz w:val="20"/>
        </w:rPr>
        <w:t>il 28%</w:t>
      </w:r>
      <w:r w:rsidR="004670B0">
        <w:rPr>
          <w:rFonts w:ascii="Century Gothic" w:hAnsi="Century Gothic" w:cs="Calibri"/>
          <w:bCs/>
          <w:color w:val="003366"/>
          <w:sz w:val="20"/>
        </w:rPr>
        <w:t xml:space="preserve"> di esse</w:t>
      </w:r>
      <w:r w:rsidR="00CE7A2D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4670B0">
        <w:rPr>
          <w:rFonts w:ascii="Century Gothic" w:hAnsi="Century Gothic" w:cs="Calibri"/>
          <w:bCs/>
          <w:color w:val="003366"/>
          <w:sz w:val="20"/>
        </w:rPr>
        <w:t>ritiene di confrontarsi con competitors meno numerosi ma più agguerriti</w:t>
      </w:r>
      <w:r w:rsidR="00CE7A2D">
        <w:rPr>
          <w:rFonts w:ascii="Century Gothic" w:hAnsi="Century Gothic" w:cs="Calibri"/>
          <w:bCs/>
          <w:color w:val="003366"/>
          <w:sz w:val="20"/>
        </w:rPr>
        <w:t xml:space="preserve">. </w:t>
      </w:r>
      <w:r w:rsidR="004670B0">
        <w:rPr>
          <w:rFonts w:ascii="Century Gothic" w:hAnsi="Century Gothic" w:cs="Calibri"/>
          <w:bCs/>
          <w:color w:val="003366"/>
          <w:sz w:val="20"/>
        </w:rPr>
        <w:t>Fortunatamente</w:t>
      </w:r>
      <w:r w:rsidR="004670B0" w:rsidRPr="001D322E">
        <w:rPr>
          <w:rFonts w:ascii="Century Gothic" w:hAnsi="Century Gothic" w:cs="Calibri"/>
          <w:bCs/>
          <w:color w:val="003366"/>
          <w:sz w:val="20"/>
        </w:rPr>
        <w:t>,</w:t>
      </w:r>
      <w:r w:rsidR="00E036E5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4670B0" w:rsidRPr="00925D96">
        <w:rPr>
          <w:rFonts w:ascii="Century Gothic" w:hAnsi="Century Gothic" w:cs="Calibri"/>
          <w:bCs/>
          <w:color w:val="003366"/>
          <w:sz w:val="20"/>
        </w:rPr>
        <w:t>p</w:t>
      </w:r>
      <w:r w:rsidR="00096C4B" w:rsidRPr="00925D96">
        <w:rPr>
          <w:rFonts w:ascii="Century Gothic" w:hAnsi="Century Gothic" w:cs="Calibri"/>
          <w:bCs/>
          <w:color w:val="003366"/>
          <w:sz w:val="20"/>
        </w:rPr>
        <w:t xml:space="preserve">er oltre un </w:t>
      </w:r>
      <w:r w:rsidR="00096C4B" w:rsidRPr="001D322E">
        <w:rPr>
          <w:rFonts w:ascii="Century Gothic" w:hAnsi="Century Gothic" w:cs="Calibri"/>
          <w:bCs/>
          <w:color w:val="003366"/>
          <w:sz w:val="20"/>
        </w:rPr>
        <w:t xml:space="preserve">quarto delle medie imprese, negli ultimi anni è cresciuto il gradimento verso il made in </w:t>
      </w:r>
      <w:proofErr w:type="spellStart"/>
      <w:r w:rsidR="00096C4B" w:rsidRPr="001D322E">
        <w:rPr>
          <w:rFonts w:ascii="Century Gothic" w:hAnsi="Century Gothic" w:cs="Calibri"/>
          <w:bCs/>
          <w:color w:val="003366"/>
          <w:sz w:val="20"/>
        </w:rPr>
        <w:t>Italy</w:t>
      </w:r>
      <w:proofErr w:type="spellEnd"/>
      <w:r w:rsidR="00096C4B" w:rsidRPr="001D322E">
        <w:rPr>
          <w:rFonts w:ascii="Century Gothic" w:hAnsi="Century Gothic" w:cs="Calibri"/>
          <w:bCs/>
          <w:color w:val="003366"/>
          <w:sz w:val="20"/>
        </w:rPr>
        <w:t xml:space="preserve"> che rappresenta una sorta di ‘ancora valoriale’ in un quadro </w:t>
      </w:r>
      <w:r w:rsidR="004670B0" w:rsidRPr="001D322E">
        <w:rPr>
          <w:rFonts w:ascii="Century Gothic" w:hAnsi="Century Gothic" w:cs="Calibri"/>
          <w:bCs/>
          <w:color w:val="003366"/>
          <w:sz w:val="20"/>
        </w:rPr>
        <w:t xml:space="preserve">dai riferimenti </w:t>
      </w:r>
      <w:r w:rsidR="00096C4B" w:rsidRPr="001D322E">
        <w:rPr>
          <w:rFonts w:ascii="Century Gothic" w:hAnsi="Century Gothic" w:cs="Calibri"/>
          <w:bCs/>
          <w:color w:val="003366"/>
          <w:sz w:val="20"/>
        </w:rPr>
        <w:t>instabil</w:t>
      </w:r>
      <w:r w:rsidR="004670B0" w:rsidRPr="001D322E">
        <w:rPr>
          <w:rFonts w:ascii="Century Gothic" w:hAnsi="Century Gothic" w:cs="Calibri"/>
          <w:bCs/>
          <w:color w:val="003366"/>
          <w:sz w:val="20"/>
        </w:rPr>
        <w:t>i</w:t>
      </w:r>
      <w:r w:rsidR="00096C4B" w:rsidRPr="001D322E">
        <w:rPr>
          <w:rFonts w:ascii="Century Gothic" w:hAnsi="Century Gothic" w:cs="Calibri"/>
          <w:bCs/>
          <w:color w:val="003366"/>
          <w:sz w:val="20"/>
        </w:rPr>
        <w:t>.</w:t>
      </w:r>
    </w:p>
    <w:p w14:paraId="55345547" w14:textId="53B86F31" w:rsidR="00DE19A1" w:rsidRPr="008C3099" w:rsidRDefault="00DE19A1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5F6AAA1A" w14:textId="0C6E00C3" w:rsidR="004E11F0" w:rsidRDefault="00461371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  <w:r>
        <w:rPr>
          <w:rFonts w:ascii="Century Gothic" w:hAnsi="Century Gothic" w:cs="Calibri"/>
          <w:bCs/>
          <w:color w:val="003366"/>
          <w:sz w:val="20"/>
        </w:rPr>
        <w:t>Non sorprende quindi</w:t>
      </w:r>
      <w:r w:rsidR="00DE19A1" w:rsidRPr="008C3099">
        <w:rPr>
          <w:rFonts w:ascii="Century Gothic" w:hAnsi="Century Gothic" w:cs="Calibri"/>
          <w:b/>
          <w:color w:val="003366"/>
          <w:sz w:val="20"/>
        </w:rPr>
        <w:t xml:space="preserve"> che </w:t>
      </w:r>
      <w:r>
        <w:rPr>
          <w:rFonts w:ascii="Century Gothic" w:hAnsi="Century Gothic" w:cs="Calibri"/>
          <w:b/>
          <w:color w:val="003366"/>
          <w:sz w:val="20"/>
        </w:rPr>
        <w:t>l’obiettivo di raggiungere</w:t>
      </w:r>
      <w:r w:rsidR="00DE19A1" w:rsidRPr="008C3099">
        <w:rPr>
          <w:rFonts w:ascii="Century Gothic" w:hAnsi="Century Gothic" w:cs="Calibri"/>
          <w:b/>
          <w:color w:val="003366"/>
          <w:sz w:val="20"/>
        </w:rPr>
        <w:t xml:space="preserve"> una dimensione ‘adeguata al </w:t>
      </w:r>
      <w:proofErr w:type="spellStart"/>
      <w:r w:rsidR="00DE19A1" w:rsidRPr="008C3099">
        <w:rPr>
          <w:rFonts w:ascii="Century Gothic" w:hAnsi="Century Gothic" w:cs="Calibri"/>
          <w:b/>
          <w:color w:val="003366"/>
          <w:sz w:val="20"/>
        </w:rPr>
        <w:t>contesto’</w:t>
      </w:r>
      <w:proofErr w:type="spellEnd"/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 - non </w:t>
      </w:r>
      <w:r>
        <w:rPr>
          <w:rFonts w:ascii="Century Gothic" w:hAnsi="Century Gothic" w:cs="Calibri"/>
          <w:bCs/>
          <w:color w:val="003366"/>
          <w:sz w:val="20"/>
        </w:rPr>
        <w:t xml:space="preserve">un 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gigantismo fine a sé stesso - </w:t>
      </w:r>
      <w:r w:rsidR="00DE19A1" w:rsidRPr="008C3099">
        <w:rPr>
          <w:rFonts w:ascii="Century Gothic" w:hAnsi="Century Gothic" w:cs="Calibri"/>
          <w:b/>
          <w:color w:val="003366"/>
          <w:sz w:val="20"/>
        </w:rPr>
        <w:t>abbia scalato l’agenda deg</w:t>
      </w:r>
      <w:r>
        <w:rPr>
          <w:rFonts w:ascii="Century Gothic" w:hAnsi="Century Gothic" w:cs="Calibri"/>
          <w:b/>
          <w:color w:val="003366"/>
          <w:sz w:val="20"/>
        </w:rPr>
        <w:t>li imprenditori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. In alcuni ambiti, infatti, la capacità di attivare leve strategiche importanti </w:t>
      </w:r>
      <w:r w:rsidR="00FD2B65">
        <w:rPr>
          <w:rFonts w:ascii="Century Gothic" w:hAnsi="Century Gothic" w:cs="Calibri"/>
          <w:bCs/>
          <w:color w:val="003366"/>
          <w:sz w:val="20"/>
        </w:rPr>
        <w:t xml:space="preserve">come l’acquisizione di 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competitor internazionali o la realizzazione di investimenti digitali, </w:t>
      </w:r>
      <w:r w:rsidR="00792E09">
        <w:rPr>
          <w:rFonts w:ascii="Century Gothic" w:hAnsi="Century Gothic" w:cs="Calibri"/>
          <w:bCs/>
          <w:color w:val="003366"/>
          <w:sz w:val="20"/>
        </w:rPr>
        <w:t>è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FD2B65">
        <w:rPr>
          <w:rFonts w:ascii="Century Gothic" w:hAnsi="Century Gothic" w:cs="Calibri"/>
          <w:bCs/>
          <w:color w:val="003366"/>
          <w:sz w:val="20"/>
        </w:rPr>
        <w:t>agevolata dalla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 dimension</w:t>
      </w:r>
      <w:r w:rsidR="00FD2B65">
        <w:rPr>
          <w:rFonts w:ascii="Century Gothic" w:hAnsi="Century Gothic" w:cs="Calibri"/>
          <w:bCs/>
          <w:color w:val="003366"/>
          <w:sz w:val="20"/>
        </w:rPr>
        <w:t>e. Ciò favorisce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770CA3" w:rsidRPr="008C3099">
        <w:rPr>
          <w:rFonts w:ascii="Century Gothic" w:hAnsi="Century Gothic" w:cs="Calibri"/>
          <w:bCs/>
          <w:color w:val="003366"/>
          <w:sz w:val="20"/>
        </w:rPr>
        <w:t>le</w:t>
      </w:r>
      <w:r w:rsidR="00DE19A1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D33EE" w:rsidRPr="004B054D">
        <w:rPr>
          <w:rFonts w:ascii="Century Gothic" w:hAnsi="Century Gothic" w:cs="Calibri"/>
          <w:bCs/>
          <w:color w:val="003366"/>
          <w:sz w:val="20"/>
        </w:rPr>
        <w:t xml:space="preserve">aziende </w:t>
      </w:r>
      <w:r w:rsidR="00770CA3" w:rsidRPr="004B054D">
        <w:rPr>
          <w:rFonts w:ascii="Century Gothic" w:hAnsi="Century Gothic" w:cs="Calibri"/>
          <w:bCs/>
          <w:color w:val="003366"/>
          <w:sz w:val="20"/>
        </w:rPr>
        <w:t xml:space="preserve">di </w:t>
      </w:r>
      <w:r w:rsidR="00DE19A1" w:rsidRPr="004B054D">
        <w:rPr>
          <w:rFonts w:ascii="Century Gothic" w:hAnsi="Century Gothic" w:cs="Calibri"/>
          <w:bCs/>
          <w:color w:val="003366"/>
          <w:sz w:val="20"/>
        </w:rPr>
        <w:t>medio-grand</w:t>
      </w:r>
      <w:r w:rsidR="00131776">
        <w:rPr>
          <w:rFonts w:ascii="Century Gothic" w:hAnsi="Century Gothic" w:cs="Calibri"/>
          <w:bCs/>
          <w:color w:val="003366"/>
          <w:sz w:val="20"/>
        </w:rPr>
        <w:t>i</w:t>
      </w:r>
      <w:r w:rsidR="00770CA3" w:rsidRPr="004B054D">
        <w:rPr>
          <w:rFonts w:ascii="Century Gothic" w:hAnsi="Century Gothic" w:cs="Calibri"/>
          <w:bCs/>
          <w:color w:val="003366"/>
          <w:sz w:val="20"/>
        </w:rPr>
        <w:t xml:space="preserve"> dimension</w:t>
      </w:r>
      <w:r w:rsidR="00131776">
        <w:rPr>
          <w:rFonts w:ascii="Century Gothic" w:hAnsi="Century Gothic" w:cs="Calibri"/>
          <w:bCs/>
          <w:color w:val="003366"/>
          <w:sz w:val="20"/>
        </w:rPr>
        <w:t xml:space="preserve">i </w:t>
      </w:r>
      <w:r w:rsidR="00FD1698" w:rsidRPr="004B054D">
        <w:rPr>
          <w:rFonts w:ascii="Century Gothic" w:hAnsi="Century Gothic" w:cs="Calibri"/>
          <w:bCs/>
          <w:color w:val="003366"/>
          <w:sz w:val="20"/>
        </w:rPr>
        <w:t>(fatturato tra 370 milioni di euro e 2,99 miliardi e/o più di 499 addetti)</w:t>
      </w:r>
      <w:r w:rsidR="00FD1698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770CA3" w:rsidRPr="008C3099">
        <w:rPr>
          <w:rFonts w:ascii="Century Gothic" w:hAnsi="Century Gothic" w:cs="Calibri"/>
          <w:bCs/>
          <w:color w:val="003366"/>
          <w:sz w:val="20"/>
        </w:rPr>
        <w:t xml:space="preserve">intervistate dall’Area Studi Mediobanca al fine di compararne le risposte con quelle </w:t>
      </w:r>
      <w:r w:rsidR="00FD2B65">
        <w:rPr>
          <w:rFonts w:ascii="Century Gothic" w:hAnsi="Century Gothic" w:cs="Calibri"/>
          <w:bCs/>
          <w:color w:val="003366"/>
          <w:sz w:val="20"/>
        </w:rPr>
        <w:t>delle</w:t>
      </w:r>
      <w:r w:rsidR="00770CA3" w:rsidRPr="008C3099">
        <w:rPr>
          <w:rFonts w:ascii="Century Gothic" w:hAnsi="Century Gothic" w:cs="Calibri"/>
          <w:bCs/>
          <w:color w:val="003366"/>
          <w:sz w:val="20"/>
        </w:rPr>
        <w:t xml:space="preserve"> medie imprese.</w:t>
      </w:r>
      <w:r w:rsidR="006B25EC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FD2B65">
        <w:rPr>
          <w:rFonts w:ascii="Century Gothic" w:hAnsi="Century Gothic" w:cs="Calibri"/>
          <w:bCs/>
          <w:color w:val="003366"/>
          <w:sz w:val="20"/>
        </w:rPr>
        <w:t>La volontà di continuare ad investire in Italia</w:t>
      </w:r>
      <w:r w:rsidR="00792E09">
        <w:rPr>
          <w:rFonts w:ascii="Century Gothic" w:hAnsi="Century Gothic" w:cs="Calibri"/>
          <w:bCs/>
          <w:color w:val="003366"/>
          <w:sz w:val="20"/>
        </w:rPr>
        <w:t xml:space="preserve"> (</w:t>
      </w:r>
      <w:r w:rsidR="00392732">
        <w:rPr>
          <w:rFonts w:ascii="Century Gothic" w:hAnsi="Century Gothic" w:cs="Calibri"/>
          <w:bCs/>
          <w:color w:val="003366"/>
          <w:sz w:val="20"/>
        </w:rPr>
        <w:t>61% le medie, 57% le medio-grandi</w:t>
      </w:r>
      <w:r w:rsidR="00792E09">
        <w:rPr>
          <w:rFonts w:ascii="Century Gothic" w:hAnsi="Century Gothic" w:cs="Calibri"/>
          <w:bCs/>
          <w:color w:val="003366"/>
          <w:sz w:val="20"/>
        </w:rPr>
        <w:t>)</w:t>
      </w:r>
      <w:r w:rsidR="00FD2B65">
        <w:rPr>
          <w:rFonts w:ascii="Century Gothic" w:hAnsi="Century Gothic" w:cs="Calibri"/>
          <w:bCs/>
          <w:color w:val="003366"/>
          <w:sz w:val="20"/>
        </w:rPr>
        <w:t xml:space="preserve"> e di migliorare la qualità</w:t>
      </w:r>
      <w:r w:rsidR="00792E09">
        <w:rPr>
          <w:rFonts w:ascii="Century Gothic" w:hAnsi="Century Gothic" w:cs="Calibri"/>
          <w:bCs/>
          <w:color w:val="003366"/>
          <w:sz w:val="20"/>
        </w:rPr>
        <w:t xml:space="preserve"> (</w:t>
      </w:r>
      <w:r w:rsidR="00392732">
        <w:rPr>
          <w:rFonts w:ascii="Century Gothic" w:hAnsi="Century Gothic" w:cs="Calibri"/>
          <w:bCs/>
          <w:color w:val="003366"/>
          <w:sz w:val="20"/>
        </w:rPr>
        <w:t>63% e 66%</w:t>
      </w:r>
      <w:r w:rsidR="00792E09">
        <w:rPr>
          <w:rFonts w:ascii="Century Gothic" w:hAnsi="Century Gothic" w:cs="Calibri"/>
          <w:bCs/>
          <w:color w:val="003366"/>
          <w:sz w:val="20"/>
        </w:rPr>
        <w:t>)</w:t>
      </w:r>
      <w:r w:rsidR="00FD2B65">
        <w:rPr>
          <w:rFonts w:ascii="Century Gothic" w:hAnsi="Century Gothic" w:cs="Calibri"/>
          <w:bCs/>
          <w:color w:val="003366"/>
          <w:sz w:val="20"/>
        </w:rPr>
        <w:t xml:space="preserve"> appare invece un tratto comune </w:t>
      </w:r>
      <w:r w:rsidR="005517B5">
        <w:rPr>
          <w:rFonts w:ascii="Century Gothic" w:hAnsi="Century Gothic" w:cs="Calibri"/>
          <w:bCs/>
          <w:color w:val="003366"/>
          <w:sz w:val="20"/>
        </w:rPr>
        <w:t>a tutte le imprese</w:t>
      </w:r>
      <w:r w:rsidR="00FD2B65">
        <w:rPr>
          <w:rFonts w:ascii="Century Gothic" w:hAnsi="Century Gothic" w:cs="Calibri"/>
          <w:bCs/>
          <w:color w:val="003366"/>
          <w:sz w:val="20"/>
        </w:rPr>
        <w:t>.</w:t>
      </w:r>
    </w:p>
    <w:p w14:paraId="6F1024F0" w14:textId="77777777" w:rsidR="004E11F0" w:rsidRDefault="004E11F0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361B6330" w14:textId="77777777" w:rsidR="004E11F0" w:rsidRDefault="004E11F0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7B964F97" w14:textId="77777777" w:rsidR="004E11F0" w:rsidRDefault="004E11F0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33CA6EC9" w14:textId="77777777" w:rsidR="004E11F0" w:rsidRDefault="004E11F0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15A36FCE" w14:textId="082AF1D5" w:rsidR="006369BC" w:rsidRPr="006369BC" w:rsidRDefault="006369BC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  <w:r w:rsidRPr="006369BC">
        <w:rPr>
          <w:rFonts w:ascii="Century Gothic" w:hAnsi="Century Gothic" w:cs="Calibri"/>
          <w:b/>
          <w:color w:val="003366"/>
          <w:sz w:val="16"/>
          <w:szCs w:val="16"/>
        </w:rPr>
        <w:lastRenderedPageBreak/>
        <w:t>Leve per accrescere le quote di mercato: dove conta la dimensione?</w:t>
      </w:r>
      <w:r>
        <w:rPr>
          <w:rFonts w:ascii="Century Gothic" w:hAnsi="Century Gothic" w:cs="Calibri"/>
          <w:b/>
          <w:color w:val="003366"/>
          <w:sz w:val="16"/>
          <w:szCs w:val="16"/>
        </w:rPr>
        <w:t xml:space="preserve"> (in % delle rispondenti, possibili risposte multiple)</w:t>
      </w:r>
      <w:r w:rsidRPr="006369BC">
        <w:rPr>
          <w:rFonts w:ascii="Century Gothic" w:hAnsi="Century Gothic" w:cs="Calibri"/>
          <w:b/>
          <w:noProof/>
          <w:color w:val="003366"/>
          <w:sz w:val="16"/>
          <w:szCs w:val="16"/>
        </w:rPr>
        <w:drawing>
          <wp:inline distT="0" distB="0" distL="0" distR="0" wp14:anchorId="556247A8" wp14:editId="7D6FC769">
            <wp:extent cx="5580380" cy="2914650"/>
            <wp:effectExtent l="0" t="0" r="127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D09A3CE5-F4DB-4429-96BB-1FBB58C94A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A1B69E" w14:textId="30579328" w:rsidR="006369BC" w:rsidRPr="006E33F6" w:rsidRDefault="006369BC" w:rsidP="006E33F6">
      <w:pPr>
        <w:spacing w:line="276" w:lineRule="auto"/>
        <w:jc w:val="left"/>
        <w:rPr>
          <w:rFonts w:ascii="Century Gothic" w:hAnsi="Century Gothic" w:cs="Calibri"/>
          <w:color w:val="003366"/>
          <w:sz w:val="14"/>
          <w:szCs w:val="14"/>
        </w:rPr>
      </w:pPr>
      <w:r w:rsidRPr="005C786F">
        <w:rPr>
          <w:rFonts w:ascii="Century Gothic" w:hAnsi="Century Gothic" w:cs="Calibri"/>
          <w:i/>
          <w:color w:val="003366"/>
          <w:sz w:val="14"/>
          <w:szCs w:val="14"/>
        </w:rPr>
        <w:t>Fonte</w:t>
      </w:r>
      <w:r w:rsidRPr="005C786F">
        <w:rPr>
          <w:rFonts w:ascii="Century Gothic" w:hAnsi="Century Gothic" w:cs="Calibri"/>
          <w:color w:val="003366"/>
          <w:sz w:val="14"/>
          <w:szCs w:val="14"/>
        </w:rPr>
        <w:t>: Area Studi Mediobanca, indagine campionaria</w:t>
      </w:r>
      <w:r w:rsidR="00B22F1A">
        <w:rPr>
          <w:rFonts w:ascii="Century Gothic" w:hAnsi="Century Gothic" w:cs="Calibri"/>
          <w:color w:val="003366"/>
          <w:sz w:val="14"/>
          <w:szCs w:val="14"/>
        </w:rPr>
        <w:t xml:space="preserve"> 2023</w:t>
      </w:r>
    </w:p>
    <w:p w14:paraId="7C2D0627" w14:textId="77777777" w:rsidR="00FD2B65" w:rsidRDefault="00FD2B65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2CDB5450" w14:textId="1C43D0AC" w:rsidR="00512B4E" w:rsidRPr="008317F0" w:rsidRDefault="00DE19A1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 w:rsidRPr="008317F0">
        <w:rPr>
          <w:rFonts w:ascii="Century Gothic" w:eastAsia="Calibri" w:hAnsi="Century Gothic"/>
          <w:b/>
          <w:color w:val="003366"/>
          <w:szCs w:val="24"/>
        </w:rPr>
        <w:t>Le medie imprese puntano su</w:t>
      </w:r>
      <w:r w:rsidR="00F13603" w:rsidRPr="008317F0">
        <w:rPr>
          <w:rFonts w:ascii="Century Gothic" w:eastAsia="Calibri" w:hAnsi="Century Gothic"/>
          <w:b/>
          <w:color w:val="003366"/>
          <w:szCs w:val="24"/>
        </w:rPr>
        <w:t xml:space="preserve"> </w:t>
      </w:r>
      <w:r w:rsidR="00427FA6">
        <w:rPr>
          <w:rFonts w:ascii="Century Gothic" w:eastAsia="Calibri" w:hAnsi="Century Gothic"/>
          <w:b/>
          <w:color w:val="003366"/>
          <w:szCs w:val="24"/>
        </w:rPr>
        <w:t>C</w:t>
      </w:r>
      <w:r w:rsidRPr="008317F0">
        <w:rPr>
          <w:rFonts w:ascii="Century Gothic" w:eastAsia="Calibri" w:hAnsi="Century Gothic"/>
          <w:b/>
          <w:color w:val="003366"/>
          <w:szCs w:val="24"/>
        </w:rPr>
        <w:t xml:space="preserve">apitale </w:t>
      </w:r>
      <w:r w:rsidR="00427FA6">
        <w:rPr>
          <w:rFonts w:ascii="Century Gothic" w:eastAsia="Calibri" w:hAnsi="Century Gothic"/>
          <w:b/>
          <w:color w:val="003366"/>
          <w:szCs w:val="24"/>
        </w:rPr>
        <w:t>U</w:t>
      </w:r>
      <w:r w:rsidRPr="008317F0">
        <w:rPr>
          <w:rFonts w:ascii="Century Gothic" w:eastAsia="Calibri" w:hAnsi="Century Gothic"/>
          <w:b/>
          <w:color w:val="003366"/>
          <w:szCs w:val="24"/>
        </w:rPr>
        <w:t>mano</w:t>
      </w:r>
      <w:r w:rsidR="00CE6627" w:rsidRPr="008317F0">
        <w:rPr>
          <w:rFonts w:ascii="Century Gothic" w:eastAsia="Calibri" w:hAnsi="Century Gothic"/>
          <w:b/>
          <w:color w:val="003366"/>
          <w:szCs w:val="24"/>
        </w:rPr>
        <w:t xml:space="preserve"> e qualit</w:t>
      </w:r>
      <w:r w:rsidR="00427FA6">
        <w:rPr>
          <w:rFonts w:ascii="Century Gothic" w:eastAsia="Calibri" w:hAnsi="Century Gothic"/>
          <w:b/>
          <w:color w:val="003366"/>
          <w:szCs w:val="24"/>
        </w:rPr>
        <w:t>à</w:t>
      </w:r>
      <w:r w:rsidR="008E40C1">
        <w:rPr>
          <w:rFonts w:ascii="Century Gothic" w:eastAsia="Calibri" w:hAnsi="Century Gothic"/>
          <w:b/>
          <w:color w:val="003366"/>
          <w:szCs w:val="24"/>
        </w:rPr>
        <w:t>…</w:t>
      </w:r>
    </w:p>
    <w:p w14:paraId="1C1F2FBE" w14:textId="77777777" w:rsidR="00731DA6" w:rsidRPr="008C3099" w:rsidRDefault="00731DA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17C30D22" w14:textId="242269D8" w:rsidR="00F13603" w:rsidRDefault="00731DA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bookmarkStart w:id="5" w:name="_Hlk138680105"/>
      <w:bookmarkStart w:id="6" w:name="_Hlk138944162"/>
      <w:r w:rsidRPr="004B12AA">
        <w:rPr>
          <w:rFonts w:ascii="Century Gothic" w:hAnsi="Century Gothic" w:cs="Calibri"/>
          <w:bCs/>
          <w:color w:val="003366"/>
          <w:sz w:val="20"/>
        </w:rPr>
        <w:t>Tra i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5C786F">
        <w:rPr>
          <w:rFonts w:ascii="Century Gothic" w:hAnsi="Century Gothic" w:cs="Calibri"/>
          <w:b/>
          <w:color w:val="003366"/>
          <w:sz w:val="20"/>
        </w:rPr>
        <w:t>‘</w:t>
      </w:r>
      <w:r w:rsidRPr="008C3099">
        <w:rPr>
          <w:rFonts w:ascii="Century Gothic" w:hAnsi="Century Gothic" w:cs="Calibri"/>
          <w:b/>
          <w:color w:val="003366"/>
          <w:sz w:val="20"/>
        </w:rPr>
        <w:t>capitali</w:t>
      </w:r>
      <w:r w:rsidR="005C786F">
        <w:rPr>
          <w:rFonts w:ascii="Century Gothic" w:hAnsi="Century Gothic" w:cs="Calibri"/>
          <w:b/>
          <w:color w:val="003366"/>
          <w:sz w:val="20"/>
        </w:rPr>
        <w:t>’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 strategici per lo sviluppo futuro, quello </w:t>
      </w:r>
      <w:r w:rsidR="00E077C4">
        <w:rPr>
          <w:rFonts w:ascii="Century Gothic" w:hAnsi="Century Gothic" w:cs="Calibri"/>
          <w:b/>
          <w:color w:val="003366"/>
          <w:sz w:val="20"/>
        </w:rPr>
        <w:t>U</w:t>
      </w:r>
      <w:r w:rsidRPr="008C3099">
        <w:rPr>
          <w:rFonts w:ascii="Century Gothic" w:hAnsi="Century Gothic" w:cs="Calibri"/>
          <w:b/>
          <w:color w:val="003366"/>
          <w:sz w:val="20"/>
        </w:rPr>
        <w:t>mano rappresenta per le medie imprese l’elemento centrale</w:t>
      </w:r>
      <w:r w:rsidR="00CE6627" w:rsidRPr="008C3099">
        <w:rPr>
          <w:rFonts w:ascii="Century Gothic" w:hAnsi="Century Gothic" w:cs="Calibri"/>
          <w:b/>
          <w:color w:val="003366"/>
          <w:sz w:val="20"/>
        </w:rPr>
        <w:t xml:space="preserve"> su cui focalizzare i maggiori sforzi</w:t>
      </w:r>
      <w:r w:rsidR="006D2086">
        <w:rPr>
          <w:rFonts w:ascii="Century Gothic" w:hAnsi="Century Gothic" w:cs="Calibri"/>
          <w:b/>
          <w:color w:val="003366"/>
          <w:sz w:val="20"/>
        </w:rPr>
        <w:t>.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6D2086">
        <w:rPr>
          <w:rFonts w:ascii="Century Gothic" w:hAnsi="Century Gothic" w:cs="Calibri"/>
          <w:bCs/>
          <w:color w:val="003366"/>
          <w:sz w:val="20"/>
        </w:rPr>
        <w:t>I</w:t>
      </w:r>
      <w:r w:rsidR="00B22F1A">
        <w:rPr>
          <w:rFonts w:ascii="Century Gothic" w:hAnsi="Century Gothic" w:cs="Calibri"/>
          <w:bCs/>
          <w:color w:val="003366"/>
          <w:sz w:val="20"/>
        </w:rPr>
        <w:t xml:space="preserve">n una scala </w:t>
      </w:r>
      <w:r w:rsidR="006D2086">
        <w:rPr>
          <w:rFonts w:ascii="Century Gothic" w:hAnsi="Century Gothic" w:cs="Calibri"/>
          <w:bCs/>
          <w:color w:val="003366"/>
          <w:sz w:val="20"/>
        </w:rPr>
        <w:t xml:space="preserve">di rilevanza </w:t>
      </w:r>
      <w:r w:rsidR="00B22F1A">
        <w:rPr>
          <w:rFonts w:ascii="Century Gothic" w:hAnsi="Century Gothic" w:cs="Calibri"/>
          <w:bCs/>
          <w:color w:val="003366"/>
          <w:sz w:val="20"/>
        </w:rPr>
        <w:t>da 1 a 5,</w:t>
      </w:r>
      <w:r w:rsidR="006D2086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ottiene un punteggio pari a 4,6 </w:t>
      </w:r>
      <w:bookmarkEnd w:id="5"/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seguito dal </w:t>
      </w:r>
      <w:r w:rsidR="00427FA6">
        <w:rPr>
          <w:rFonts w:ascii="Century Gothic" w:hAnsi="Century Gothic" w:cs="Calibri"/>
          <w:bCs/>
          <w:color w:val="003366"/>
          <w:sz w:val="20"/>
        </w:rPr>
        <w:t>C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apitale </w:t>
      </w:r>
      <w:r w:rsidR="00427FA6">
        <w:rPr>
          <w:rFonts w:ascii="Century Gothic" w:hAnsi="Century Gothic" w:cs="Calibri"/>
          <w:bCs/>
          <w:color w:val="003366"/>
          <w:sz w:val="20"/>
        </w:rPr>
        <w:t>T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>ecnico (4,1), da</w:t>
      </w:r>
      <w:r w:rsidR="006D2086">
        <w:rPr>
          <w:rFonts w:ascii="Century Gothic" w:hAnsi="Century Gothic" w:cs="Calibri"/>
          <w:bCs/>
          <w:color w:val="003366"/>
          <w:sz w:val="20"/>
        </w:rPr>
        <w:t xml:space="preserve"> quello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B22F1A">
        <w:rPr>
          <w:rFonts w:ascii="Century Gothic" w:hAnsi="Century Gothic" w:cs="Calibri"/>
          <w:bCs/>
          <w:color w:val="003366"/>
          <w:sz w:val="20"/>
        </w:rPr>
        <w:t>F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>inanziario (3,8), da</w:t>
      </w:r>
      <w:r w:rsidR="006D2086">
        <w:rPr>
          <w:rFonts w:ascii="Century Gothic" w:hAnsi="Century Gothic" w:cs="Calibri"/>
          <w:bCs/>
          <w:color w:val="003366"/>
          <w:sz w:val="20"/>
        </w:rPr>
        <w:t xml:space="preserve"> quello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B22F1A">
        <w:rPr>
          <w:rFonts w:ascii="Century Gothic" w:hAnsi="Century Gothic" w:cs="Calibri"/>
          <w:bCs/>
          <w:color w:val="003366"/>
          <w:sz w:val="20"/>
        </w:rPr>
        <w:t>C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>onoscitivo (3,6) e da</w:t>
      </w:r>
      <w:r w:rsidR="000B2E16">
        <w:rPr>
          <w:rFonts w:ascii="Century Gothic" w:hAnsi="Century Gothic" w:cs="Calibri"/>
          <w:bCs/>
          <w:color w:val="003366"/>
          <w:sz w:val="20"/>
        </w:rPr>
        <w:t>l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6D2086">
        <w:rPr>
          <w:rFonts w:ascii="Century Gothic" w:hAnsi="Century Gothic" w:cs="Calibri"/>
          <w:bCs/>
          <w:color w:val="003366"/>
          <w:sz w:val="20"/>
        </w:rPr>
        <w:t>Capitale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B22F1A">
        <w:rPr>
          <w:rFonts w:ascii="Century Gothic" w:hAnsi="Century Gothic" w:cs="Calibri"/>
          <w:bCs/>
          <w:color w:val="003366"/>
          <w:sz w:val="20"/>
        </w:rPr>
        <w:t>O</w:t>
      </w:r>
      <w:r w:rsidR="00DA2B42" w:rsidRPr="008C3099">
        <w:rPr>
          <w:rFonts w:ascii="Century Gothic" w:hAnsi="Century Gothic" w:cs="Calibri"/>
          <w:bCs/>
          <w:color w:val="003366"/>
          <w:sz w:val="20"/>
        </w:rPr>
        <w:t>rganizzativo (3,5).</w:t>
      </w:r>
      <w:r w:rsidR="00401B33">
        <w:rPr>
          <w:rFonts w:ascii="Century Gothic" w:hAnsi="Century Gothic" w:cs="Calibri"/>
          <w:bCs/>
          <w:color w:val="003366"/>
          <w:sz w:val="20"/>
        </w:rPr>
        <w:t xml:space="preserve"> </w:t>
      </w:r>
    </w:p>
    <w:bookmarkEnd w:id="6"/>
    <w:p w14:paraId="68C0337C" w14:textId="34C8E7BA" w:rsidR="005C786F" w:rsidRDefault="005C786F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4A8500E0" w14:textId="4E946CFB" w:rsidR="00DF3062" w:rsidRDefault="005C786F" w:rsidP="008C3099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  <w:r w:rsidRPr="005C786F">
        <w:rPr>
          <w:rFonts w:ascii="Century Gothic" w:hAnsi="Century Gothic" w:cs="Calibri"/>
          <w:b/>
          <w:color w:val="003366"/>
          <w:sz w:val="16"/>
          <w:szCs w:val="16"/>
        </w:rPr>
        <w:t>Valutazione dei ‘capitali’ in relazione alla rilevanza strategica</w:t>
      </w:r>
      <w:r w:rsidR="00234A51">
        <w:rPr>
          <w:rFonts w:ascii="Century Gothic" w:hAnsi="Century Gothic" w:cs="Calibri"/>
          <w:b/>
          <w:color w:val="003366"/>
          <w:sz w:val="16"/>
          <w:szCs w:val="16"/>
        </w:rPr>
        <w:t xml:space="preserve"> attribuita dalle medie imprese</w:t>
      </w:r>
      <w:r w:rsidRPr="005C786F">
        <w:rPr>
          <w:rFonts w:ascii="Century Gothic" w:hAnsi="Century Gothic" w:cs="Calibri"/>
          <w:b/>
          <w:color w:val="003366"/>
          <w:sz w:val="16"/>
          <w:szCs w:val="16"/>
        </w:rPr>
        <w:t xml:space="preserve"> (punteggio medio: 1 min-5 max)</w:t>
      </w:r>
    </w:p>
    <w:p w14:paraId="7243F683" w14:textId="3E5548D8" w:rsidR="00F13603" w:rsidRPr="008C3099" w:rsidRDefault="00DF3062" w:rsidP="00E67DEA">
      <w:pPr>
        <w:spacing w:line="276" w:lineRule="auto"/>
        <w:rPr>
          <w:rFonts w:ascii="Century Gothic" w:hAnsi="Century Gothic" w:cs="Calibri"/>
          <w:bCs/>
          <w:color w:val="003366"/>
          <w:sz w:val="20"/>
          <w:highlight w:val="magenta"/>
        </w:rPr>
      </w:pPr>
      <w:r w:rsidRPr="00DF3062">
        <w:rPr>
          <w:rFonts w:ascii="Century Gothic" w:hAnsi="Century Gothic" w:cs="Calibri"/>
          <w:bCs/>
          <w:noProof/>
          <w:color w:val="003366"/>
          <w:sz w:val="20"/>
        </w:rPr>
        <w:drawing>
          <wp:anchor distT="0" distB="0" distL="114300" distR="114300" simplePos="0" relativeHeight="251658240" behindDoc="0" locked="0" layoutInCell="1" allowOverlap="1" wp14:anchorId="746D8E3F" wp14:editId="152D72A2">
            <wp:simplePos x="0" y="0"/>
            <wp:positionH relativeFrom="column">
              <wp:posOffset>484505</wp:posOffset>
            </wp:positionH>
            <wp:positionV relativeFrom="paragraph">
              <wp:posOffset>1333410</wp:posOffset>
            </wp:positionV>
            <wp:extent cx="349976" cy="349976"/>
            <wp:effectExtent l="0" t="0" r="0" b="0"/>
            <wp:wrapNone/>
            <wp:docPr id="11" name="Elemento grafico 3" descr="Gruppo di persone">
              <a:extLst xmlns:a="http://schemas.openxmlformats.org/drawingml/2006/main">
                <a:ext uri="{FF2B5EF4-FFF2-40B4-BE49-F238E27FC236}">
                  <a16:creationId xmlns:a16="http://schemas.microsoft.com/office/drawing/2014/main" id="{F9A35C45-90A8-4FC4-9B04-4DF08D823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3" descr="Gruppo di persone">
                      <a:extLst>
                        <a:ext uri="{FF2B5EF4-FFF2-40B4-BE49-F238E27FC236}">
                          <a16:creationId xmlns:a16="http://schemas.microsoft.com/office/drawing/2014/main" id="{F9A35C45-90A8-4FC4-9B04-4DF08D8237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76" cy="34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62">
        <w:rPr>
          <w:rFonts w:ascii="Century Gothic" w:hAnsi="Century Gothic" w:cs="Calibri"/>
          <w:b/>
          <w:noProof/>
          <w:color w:val="003366"/>
          <w:sz w:val="16"/>
          <w:szCs w:val="16"/>
        </w:rPr>
        <w:drawing>
          <wp:inline distT="0" distB="0" distL="0" distR="0" wp14:anchorId="65A8CBA5" wp14:editId="62D51BF5">
            <wp:extent cx="5580380" cy="2535555"/>
            <wp:effectExtent l="0" t="0" r="127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E3D40E10-588E-4230-B636-F7BCDBCB88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618CBE" w14:textId="1D52B157" w:rsidR="008B2CA7" w:rsidRDefault="00DA2B42" w:rsidP="008B2CA7">
      <w:pPr>
        <w:spacing w:line="276" w:lineRule="auto"/>
        <w:rPr>
          <w:rFonts w:ascii="Century Gothic" w:hAnsi="Century Gothic" w:cs="Calibri"/>
          <w:color w:val="003366"/>
          <w:sz w:val="14"/>
          <w:szCs w:val="14"/>
        </w:rPr>
      </w:pPr>
      <w:r w:rsidRPr="005C786F">
        <w:rPr>
          <w:rFonts w:ascii="Century Gothic" w:hAnsi="Century Gothic" w:cs="Calibri"/>
          <w:i/>
          <w:color w:val="003366"/>
          <w:sz w:val="14"/>
          <w:szCs w:val="14"/>
        </w:rPr>
        <w:t>Fonte</w:t>
      </w:r>
      <w:r w:rsidRPr="005C786F">
        <w:rPr>
          <w:rFonts w:ascii="Century Gothic" w:hAnsi="Century Gothic" w:cs="Calibri"/>
          <w:color w:val="003366"/>
          <w:sz w:val="14"/>
          <w:szCs w:val="14"/>
        </w:rPr>
        <w:t>: Area Studi Mediobanca, indagine campionaria</w:t>
      </w:r>
      <w:r w:rsidR="005C786F" w:rsidRPr="005C786F">
        <w:rPr>
          <w:rFonts w:ascii="Century Gothic" w:hAnsi="Century Gothic" w:cs="Calibri"/>
          <w:color w:val="003366"/>
          <w:sz w:val="14"/>
          <w:szCs w:val="14"/>
        </w:rPr>
        <w:t xml:space="preserve"> </w:t>
      </w:r>
      <w:r w:rsidR="00B22F1A">
        <w:rPr>
          <w:rFonts w:ascii="Century Gothic" w:hAnsi="Century Gothic" w:cs="Calibri"/>
          <w:color w:val="003366"/>
          <w:sz w:val="14"/>
          <w:szCs w:val="14"/>
        </w:rPr>
        <w:t>2023</w:t>
      </w:r>
    </w:p>
    <w:p w14:paraId="35EFF4F2" w14:textId="77777777" w:rsidR="00CE6627" w:rsidRPr="008C3099" w:rsidRDefault="00CE6627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76D0CC90" w14:textId="6E5DD369" w:rsidR="00F13603" w:rsidRDefault="00CE6627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bookmarkStart w:id="7" w:name="_Hlk138944220"/>
      <w:r w:rsidRPr="008C3099">
        <w:rPr>
          <w:rFonts w:ascii="Century Gothic" w:hAnsi="Century Gothic" w:cs="Calibri"/>
          <w:bCs/>
          <w:color w:val="003366"/>
          <w:sz w:val="20"/>
        </w:rPr>
        <w:t xml:space="preserve">La disponibilità di </w:t>
      </w:r>
      <w:r w:rsidR="00427FA6">
        <w:rPr>
          <w:rFonts w:ascii="Century Gothic" w:hAnsi="Century Gothic" w:cs="Calibri"/>
          <w:bCs/>
          <w:color w:val="003366"/>
          <w:sz w:val="20"/>
        </w:rPr>
        <w:t>C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apitale </w:t>
      </w:r>
      <w:r w:rsidR="00427FA6">
        <w:rPr>
          <w:rFonts w:ascii="Century Gothic" w:hAnsi="Century Gothic" w:cs="Calibri"/>
          <w:bCs/>
          <w:color w:val="003366"/>
          <w:sz w:val="20"/>
        </w:rPr>
        <w:t>U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mano </w:t>
      </w:r>
      <w:r w:rsidR="00E04B93">
        <w:rPr>
          <w:rFonts w:ascii="Century Gothic" w:hAnsi="Century Gothic" w:cs="Calibri"/>
          <w:bCs/>
          <w:color w:val="003366"/>
          <w:sz w:val="20"/>
        </w:rPr>
        <w:t xml:space="preserve">specializzato 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ha una diretta relazione con la 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qualità dell’organizzazione e delle produzioni dell’impresa 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che 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rappresentano la </w:t>
      </w:r>
      <w:r w:rsidR="00352E70">
        <w:rPr>
          <w:rFonts w:ascii="Century Gothic" w:hAnsi="Century Gothic" w:cs="Calibri"/>
          <w:b/>
          <w:color w:val="003366"/>
          <w:sz w:val="20"/>
        </w:rPr>
        <w:t>‘</w:t>
      </w:r>
      <w:r w:rsidRPr="008C3099">
        <w:rPr>
          <w:rFonts w:ascii="Century Gothic" w:hAnsi="Century Gothic" w:cs="Calibri"/>
          <w:b/>
          <w:color w:val="003366"/>
          <w:sz w:val="20"/>
        </w:rPr>
        <w:t>stella polare</w:t>
      </w:r>
      <w:r w:rsidR="00352E70">
        <w:rPr>
          <w:rFonts w:ascii="Century Gothic" w:hAnsi="Century Gothic" w:cs="Calibri"/>
          <w:b/>
          <w:color w:val="003366"/>
          <w:sz w:val="20"/>
        </w:rPr>
        <w:t>’</w:t>
      </w:r>
      <w:r w:rsidRPr="008C3099">
        <w:rPr>
          <w:rFonts w:ascii="Century Gothic" w:hAnsi="Century Gothic" w:cs="Calibri"/>
          <w:b/>
          <w:color w:val="003366"/>
          <w:sz w:val="20"/>
        </w:rPr>
        <w:t xml:space="preserve"> del made in </w:t>
      </w:r>
      <w:proofErr w:type="spellStart"/>
      <w:r w:rsidRPr="008C3099">
        <w:rPr>
          <w:rFonts w:ascii="Century Gothic" w:hAnsi="Century Gothic" w:cs="Calibri"/>
          <w:b/>
          <w:color w:val="003366"/>
          <w:sz w:val="20"/>
        </w:rPr>
        <w:t>Italy</w:t>
      </w:r>
      <w:proofErr w:type="spellEnd"/>
      <w:r w:rsidRPr="008C3099">
        <w:rPr>
          <w:rFonts w:ascii="Century Gothic" w:hAnsi="Century Gothic" w:cs="Calibri"/>
          <w:b/>
          <w:color w:val="003366"/>
          <w:sz w:val="20"/>
        </w:rPr>
        <w:t xml:space="preserve">. </w:t>
      </w:r>
      <w:r w:rsidRPr="008C3099">
        <w:rPr>
          <w:rFonts w:ascii="Century Gothic" w:hAnsi="Century Gothic" w:cs="Calibri"/>
          <w:bCs/>
          <w:color w:val="003366"/>
          <w:sz w:val="20"/>
        </w:rPr>
        <w:t>Il 40% delle medie imprese si percepisce come produttore di fascia alta</w:t>
      </w:r>
      <w:r w:rsidR="006D2086">
        <w:rPr>
          <w:rFonts w:ascii="Century Gothic" w:hAnsi="Century Gothic" w:cs="Calibri"/>
          <w:bCs/>
          <w:color w:val="003366"/>
          <w:sz w:val="20"/>
        </w:rPr>
        <w:t>:</w:t>
      </w:r>
      <w:r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6D2086">
        <w:rPr>
          <w:rFonts w:ascii="Century Gothic" w:hAnsi="Century Gothic" w:cs="Calibri"/>
          <w:bCs/>
          <w:color w:val="003366"/>
          <w:sz w:val="20"/>
        </w:rPr>
        <w:t>chi</w:t>
      </w:r>
      <w:r w:rsidR="008C3099" w:rsidRPr="008C309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6D2086">
        <w:rPr>
          <w:rFonts w:ascii="Century Gothic" w:hAnsi="Century Gothic" w:cs="Calibri"/>
          <w:bCs/>
          <w:color w:val="003366"/>
          <w:sz w:val="20"/>
        </w:rPr>
        <w:t xml:space="preserve">vi </w:t>
      </w:r>
      <w:r w:rsidR="008C3099" w:rsidRPr="008C3099">
        <w:rPr>
          <w:rFonts w:ascii="Century Gothic" w:hAnsi="Century Gothic" w:cs="Calibri"/>
          <w:bCs/>
          <w:color w:val="003366"/>
          <w:sz w:val="20"/>
        </w:rPr>
        <w:t xml:space="preserve">opera </w:t>
      </w:r>
      <w:r w:rsidR="00B001AC">
        <w:rPr>
          <w:rFonts w:ascii="Century Gothic" w:hAnsi="Century Gothic" w:cs="Calibri"/>
          <w:bCs/>
          <w:color w:val="003366"/>
          <w:sz w:val="20"/>
        </w:rPr>
        <w:t>ottiene</w:t>
      </w:r>
      <w:r w:rsidR="008C3099" w:rsidRPr="008C3099">
        <w:rPr>
          <w:rFonts w:ascii="Century Gothic" w:hAnsi="Century Gothic" w:cs="Calibri"/>
          <w:bCs/>
          <w:color w:val="003366"/>
          <w:sz w:val="20"/>
        </w:rPr>
        <w:t xml:space="preserve"> migliori performance </w:t>
      </w:r>
      <w:r w:rsidR="00B001AC">
        <w:rPr>
          <w:rFonts w:ascii="Century Gothic" w:hAnsi="Century Gothic" w:cs="Calibri"/>
          <w:bCs/>
          <w:color w:val="003366"/>
          <w:sz w:val="20"/>
        </w:rPr>
        <w:t>economiche (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EBIT </w:t>
      </w:r>
      <w:proofErr w:type="spellStart"/>
      <w:r w:rsidR="004B0FB9">
        <w:rPr>
          <w:rFonts w:ascii="Century Gothic" w:hAnsi="Century Gothic" w:cs="Calibri"/>
          <w:bCs/>
          <w:color w:val="003366"/>
          <w:sz w:val="20"/>
        </w:rPr>
        <w:t>m</w:t>
      </w:r>
      <w:r w:rsidR="00B001AC">
        <w:rPr>
          <w:rFonts w:ascii="Century Gothic" w:hAnsi="Century Gothic" w:cs="Calibri"/>
          <w:bCs/>
          <w:color w:val="003366"/>
          <w:sz w:val="20"/>
        </w:rPr>
        <w:t>argin</w:t>
      </w:r>
      <w:proofErr w:type="spellEnd"/>
      <w:r w:rsidR="00B001AC">
        <w:rPr>
          <w:rFonts w:ascii="Century Gothic" w:hAnsi="Century Gothic" w:cs="Calibri"/>
          <w:bCs/>
          <w:color w:val="003366"/>
          <w:sz w:val="20"/>
        </w:rPr>
        <w:t xml:space="preserve"> 7,4% vs 5,7%) e presenta meno debiti (</w:t>
      </w:r>
      <w:proofErr w:type="spellStart"/>
      <w:r w:rsidR="00B001AC">
        <w:rPr>
          <w:rFonts w:ascii="Century Gothic" w:hAnsi="Century Gothic" w:cs="Calibri"/>
          <w:bCs/>
          <w:color w:val="003366"/>
          <w:sz w:val="20"/>
        </w:rPr>
        <w:t>Debt</w:t>
      </w:r>
      <w:proofErr w:type="spellEnd"/>
      <w:r w:rsidR="00B001AC">
        <w:rPr>
          <w:rFonts w:ascii="Century Gothic" w:hAnsi="Century Gothic" w:cs="Calibri"/>
          <w:bCs/>
          <w:color w:val="003366"/>
          <w:sz w:val="20"/>
        </w:rPr>
        <w:t xml:space="preserve"> </w:t>
      </w:r>
      <w:proofErr w:type="spellStart"/>
      <w:r w:rsidR="00B001AC">
        <w:rPr>
          <w:rFonts w:ascii="Century Gothic" w:hAnsi="Century Gothic" w:cs="Calibri"/>
          <w:bCs/>
          <w:color w:val="003366"/>
          <w:sz w:val="20"/>
        </w:rPr>
        <w:t>equity</w:t>
      </w:r>
      <w:proofErr w:type="spellEnd"/>
      <w:r w:rsidR="00B001AC">
        <w:rPr>
          <w:rFonts w:ascii="Century Gothic" w:hAnsi="Century Gothic" w:cs="Calibri"/>
          <w:bCs/>
          <w:color w:val="003366"/>
          <w:sz w:val="20"/>
        </w:rPr>
        <w:t xml:space="preserve"> ratio 67,3% vs 84,5%) </w:t>
      </w:r>
      <w:r w:rsidR="00182654">
        <w:rPr>
          <w:rFonts w:ascii="Century Gothic" w:hAnsi="Century Gothic" w:cs="Calibri"/>
          <w:bCs/>
          <w:color w:val="003366"/>
          <w:sz w:val="20"/>
        </w:rPr>
        <w:t xml:space="preserve">rispetto ai player </w:t>
      </w:r>
      <w:r w:rsidR="000B2E16">
        <w:rPr>
          <w:rFonts w:ascii="Century Gothic" w:hAnsi="Century Gothic" w:cs="Calibri"/>
          <w:bCs/>
          <w:color w:val="003366"/>
          <w:sz w:val="20"/>
        </w:rPr>
        <w:t>di gamma</w:t>
      </w:r>
      <w:r w:rsidR="00182654">
        <w:rPr>
          <w:rFonts w:ascii="Century Gothic" w:hAnsi="Century Gothic" w:cs="Calibri"/>
          <w:bCs/>
          <w:color w:val="003366"/>
          <w:sz w:val="20"/>
        </w:rPr>
        <w:t xml:space="preserve"> medio-bassa.</w:t>
      </w:r>
    </w:p>
    <w:bookmarkEnd w:id="7"/>
    <w:p w14:paraId="4B46E2E4" w14:textId="77777777" w:rsidR="00DA4D72" w:rsidRDefault="00DA4D72" w:rsidP="00BB7B20">
      <w:pPr>
        <w:spacing w:line="276" w:lineRule="auto"/>
        <w:rPr>
          <w:rFonts w:ascii="Century Gothic" w:hAnsi="Century Gothic" w:cs="Calibri"/>
          <w:color w:val="003366"/>
          <w:sz w:val="20"/>
          <w:highlight w:val="cyan"/>
        </w:rPr>
      </w:pPr>
    </w:p>
    <w:p w14:paraId="2C5C817F" w14:textId="2C493F1F" w:rsidR="00BB7B20" w:rsidRDefault="008E40C1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>
        <w:rPr>
          <w:rFonts w:ascii="Century Gothic" w:eastAsia="Calibri" w:hAnsi="Century Gothic"/>
          <w:b/>
          <w:color w:val="003366"/>
          <w:szCs w:val="24"/>
        </w:rPr>
        <w:t>…e l’e</w:t>
      </w:r>
      <w:r w:rsidR="00D460ED" w:rsidRPr="00E67DEA">
        <w:rPr>
          <w:rFonts w:ascii="Century Gothic" w:eastAsia="Calibri" w:hAnsi="Century Gothic"/>
          <w:b/>
          <w:color w:val="003366"/>
          <w:szCs w:val="24"/>
        </w:rPr>
        <w:t xml:space="preserve">ffetto combinato </w:t>
      </w:r>
      <w:r w:rsidR="00131776">
        <w:rPr>
          <w:rFonts w:ascii="Century Gothic" w:eastAsia="Calibri" w:hAnsi="Century Gothic"/>
          <w:b/>
          <w:color w:val="003366"/>
          <w:szCs w:val="24"/>
        </w:rPr>
        <w:t>D</w:t>
      </w:r>
      <w:r w:rsidR="009561F0" w:rsidRPr="00E67DEA">
        <w:rPr>
          <w:rFonts w:ascii="Century Gothic" w:eastAsia="Calibri" w:hAnsi="Century Gothic"/>
          <w:b/>
          <w:color w:val="003366"/>
          <w:szCs w:val="24"/>
        </w:rPr>
        <w:t xml:space="preserve">oppia </w:t>
      </w:r>
      <w:r w:rsidR="00131776">
        <w:rPr>
          <w:rFonts w:ascii="Century Gothic" w:eastAsia="Calibri" w:hAnsi="Century Gothic"/>
          <w:b/>
          <w:color w:val="003366"/>
          <w:szCs w:val="24"/>
        </w:rPr>
        <w:t>T</w:t>
      </w:r>
      <w:r w:rsidR="009561F0" w:rsidRPr="00E67DEA">
        <w:rPr>
          <w:rFonts w:ascii="Century Gothic" w:eastAsia="Calibri" w:hAnsi="Century Gothic"/>
          <w:b/>
          <w:color w:val="003366"/>
          <w:szCs w:val="24"/>
        </w:rPr>
        <w:t xml:space="preserve">ransizione </w:t>
      </w:r>
      <w:r w:rsidR="00D460ED" w:rsidRPr="00E67DEA">
        <w:rPr>
          <w:rFonts w:ascii="Century Gothic" w:eastAsia="Calibri" w:hAnsi="Century Gothic"/>
          <w:b/>
          <w:color w:val="003366"/>
          <w:szCs w:val="24"/>
        </w:rPr>
        <w:t>e</w:t>
      </w:r>
      <w:r w:rsidR="000654C4" w:rsidRPr="00E67DEA">
        <w:rPr>
          <w:rFonts w:ascii="Century Gothic" w:eastAsia="Calibri" w:hAnsi="Century Gothic"/>
          <w:b/>
          <w:color w:val="003366"/>
          <w:szCs w:val="24"/>
        </w:rPr>
        <w:t xml:space="preserve"> </w:t>
      </w:r>
      <w:r>
        <w:rPr>
          <w:rFonts w:ascii="Century Gothic" w:eastAsia="Calibri" w:hAnsi="Century Gothic"/>
          <w:b/>
          <w:color w:val="003366"/>
          <w:szCs w:val="24"/>
        </w:rPr>
        <w:t>C</w:t>
      </w:r>
      <w:r w:rsidR="000654C4" w:rsidRPr="00E67DEA">
        <w:rPr>
          <w:rFonts w:ascii="Century Gothic" w:eastAsia="Calibri" w:hAnsi="Century Gothic"/>
          <w:b/>
          <w:color w:val="003366"/>
          <w:szCs w:val="24"/>
        </w:rPr>
        <w:t xml:space="preserve">apitale </w:t>
      </w:r>
      <w:r>
        <w:rPr>
          <w:rFonts w:ascii="Century Gothic" w:eastAsia="Calibri" w:hAnsi="Century Gothic"/>
          <w:b/>
          <w:color w:val="003366"/>
          <w:szCs w:val="24"/>
        </w:rPr>
        <w:t>U</w:t>
      </w:r>
      <w:r w:rsidR="000654C4" w:rsidRPr="00925D96">
        <w:rPr>
          <w:rFonts w:ascii="Century Gothic" w:eastAsia="Calibri" w:hAnsi="Century Gothic"/>
          <w:b/>
          <w:color w:val="003366"/>
          <w:szCs w:val="24"/>
        </w:rPr>
        <w:t>mano</w:t>
      </w:r>
      <w:r w:rsidR="00021267" w:rsidRPr="00925D96">
        <w:rPr>
          <w:rFonts w:ascii="Century Gothic" w:eastAsia="Calibri" w:hAnsi="Century Gothic"/>
          <w:b/>
          <w:color w:val="003366"/>
          <w:szCs w:val="24"/>
        </w:rPr>
        <w:t xml:space="preserve"> mette il turbo al fatturato </w:t>
      </w:r>
    </w:p>
    <w:p w14:paraId="5D5E9FAE" w14:textId="77777777" w:rsidR="002122D9" w:rsidRPr="00E67DEA" w:rsidRDefault="002122D9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72808171" w14:textId="7D05D24B" w:rsidR="000B2E16" w:rsidRDefault="00021267" w:rsidP="00E87843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925D96">
        <w:rPr>
          <w:rFonts w:ascii="Century Gothic" w:hAnsi="Century Gothic" w:cs="Calibri"/>
          <w:b/>
          <w:color w:val="003366"/>
          <w:sz w:val="20"/>
        </w:rPr>
        <w:t xml:space="preserve">Le medie imprese sono più </w:t>
      </w:r>
      <w:r w:rsidR="00AC750B">
        <w:rPr>
          <w:rFonts w:ascii="Century Gothic" w:hAnsi="Century Gothic" w:cs="Calibri"/>
          <w:b/>
          <w:color w:val="003366"/>
          <w:sz w:val="20"/>
        </w:rPr>
        <w:t>fiduciose</w:t>
      </w:r>
      <w:r w:rsidR="00AC750B" w:rsidRPr="00925D96">
        <w:rPr>
          <w:rFonts w:ascii="Century Gothic" w:hAnsi="Century Gothic" w:cs="Calibri"/>
          <w:b/>
          <w:color w:val="003366"/>
          <w:sz w:val="20"/>
        </w:rPr>
        <w:t xml:space="preserve"> 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sul futuro quando </w:t>
      </w:r>
      <w:r w:rsidR="00E42BCB" w:rsidRPr="00925D96">
        <w:rPr>
          <w:rFonts w:ascii="Century Gothic" w:hAnsi="Century Gothic" w:cs="Calibri"/>
          <w:b/>
          <w:color w:val="003366"/>
          <w:sz w:val="20"/>
        </w:rPr>
        <w:t>investono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E42BCB" w:rsidRPr="00925D96">
        <w:rPr>
          <w:rFonts w:ascii="Century Gothic" w:hAnsi="Century Gothic" w:cs="Calibri"/>
          <w:b/>
          <w:color w:val="003366"/>
          <w:sz w:val="20"/>
        </w:rPr>
        <w:t>ne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lla </w:t>
      </w:r>
      <w:r w:rsidR="002122D9" w:rsidRPr="000C7BEE">
        <w:rPr>
          <w:rFonts w:ascii="Century Gothic" w:hAnsi="Century Gothic" w:cs="Calibri"/>
          <w:b/>
          <w:color w:val="003366"/>
          <w:sz w:val="20"/>
        </w:rPr>
        <w:t>D</w:t>
      </w:r>
      <w:r w:rsidRPr="000C7BEE">
        <w:rPr>
          <w:rFonts w:ascii="Century Gothic" w:hAnsi="Century Gothic" w:cs="Calibri"/>
          <w:b/>
          <w:color w:val="003366"/>
          <w:sz w:val="20"/>
        </w:rPr>
        <w:t xml:space="preserve">uplice </w:t>
      </w:r>
      <w:r w:rsidR="002122D9" w:rsidRPr="000C7BEE">
        <w:rPr>
          <w:rFonts w:ascii="Century Gothic" w:hAnsi="Century Gothic" w:cs="Calibri"/>
          <w:b/>
          <w:color w:val="003366"/>
          <w:sz w:val="20"/>
        </w:rPr>
        <w:t>T</w:t>
      </w:r>
      <w:r w:rsidRPr="000C7BEE">
        <w:rPr>
          <w:rFonts w:ascii="Century Gothic" w:hAnsi="Century Gothic" w:cs="Calibri"/>
          <w:b/>
          <w:color w:val="003366"/>
          <w:sz w:val="20"/>
        </w:rPr>
        <w:t>ransizione</w:t>
      </w:r>
      <w:r w:rsidR="00AC750B">
        <w:rPr>
          <w:rFonts w:ascii="Century Gothic" w:hAnsi="Century Gothic" w:cs="Calibri"/>
          <w:b/>
          <w:color w:val="003366"/>
          <w:sz w:val="20"/>
        </w:rPr>
        <w:t>:</w:t>
      </w:r>
      <w:r w:rsidRPr="000C7BEE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2122D9" w:rsidRPr="000C7BEE">
        <w:rPr>
          <w:rFonts w:ascii="Century Gothic" w:hAnsi="Century Gothic" w:cs="Calibri"/>
          <w:b/>
          <w:color w:val="003366"/>
          <w:sz w:val="20"/>
        </w:rPr>
        <w:t>D</w:t>
      </w:r>
      <w:r w:rsidRPr="000C7BEE">
        <w:rPr>
          <w:rFonts w:ascii="Century Gothic" w:hAnsi="Century Gothic" w:cs="Calibri"/>
          <w:b/>
          <w:color w:val="003366"/>
          <w:sz w:val="20"/>
        </w:rPr>
        <w:t xml:space="preserve">igitale e </w:t>
      </w:r>
      <w:r w:rsidR="002122D9" w:rsidRPr="000C7BEE">
        <w:rPr>
          <w:rFonts w:ascii="Century Gothic" w:hAnsi="Century Gothic" w:cs="Calibri"/>
          <w:b/>
          <w:color w:val="003366"/>
          <w:sz w:val="20"/>
        </w:rPr>
        <w:t>G</w:t>
      </w:r>
      <w:r w:rsidRPr="000C7BEE">
        <w:rPr>
          <w:rFonts w:ascii="Century Gothic" w:hAnsi="Century Gothic" w:cs="Calibri"/>
          <w:b/>
          <w:color w:val="003366"/>
          <w:sz w:val="20"/>
        </w:rPr>
        <w:t>reen</w:t>
      </w:r>
      <w:r w:rsidRPr="002122D9">
        <w:rPr>
          <w:rFonts w:ascii="Century Gothic" w:hAnsi="Century Gothic" w:cs="Calibri"/>
          <w:bCs/>
          <w:color w:val="003366"/>
          <w:sz w:val="20"/>
        </w:rPr>
        <w:t>.</w:t>
      </w:r>
      <w:r w:rsidR="00D42694" w:rsidRPr="002122D9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E4383">
        <w:rPr>
          <w:rFonts w:ascii="Century Gothic" w:hAnsi="Century Gothic" w:cs="Calibri"/>
          <w:bCs/>
          <w:color w:val="003366"/>
          <w:sz w:val="20"/>
        </w:rPr>
        <w:t>L</w:t>
      </w:r>
      <w:r w:rsidR="00E42BCB" w:rsidRPr="006A33EE">
        <w:rPr>
          <w:rFonts w:ascii="Century Gothic" w:hAnsi="Century Gothic" w:cs="Calibri"/>
          <w:bCs/>
          <w:color w:val="003366"/>
          <w:sz w:val="20"/>
        </w:rPr>
        <w:t xml:space="preserve">a quota di quelle che prevede un aumento del giro d’affari tra il 2023 e il </w:t>
      </w:r>
      <w:r w:rsidR="00E42BCB" w:rsidRPr="00D56B7F">
        <w:rPr>
          <w:rFonts w:ascii="Century Gothic" w:hAnsi="Century Gothic" w:cs="Calibri"/>
          <w:bCs/>
          <w:color w:val="003366"/>
          <w:sz w:val="20"/>
        </w:rPr>
        <w:t>2025 passa dal 30% d</w:t>
      </w:r>
      <w:r w:rsidR="00E42BCB" w:rsidRPr="00807B8E">
        <w:rPr>
          <w:rFonts w:ascii="Century Gothic" w:hAnsi="Century Gothic" w:cs="Calibri"/>
          <w:bCs/>
          <w:color w:val="003366"/>
          <w:sz w:val="20"/>
        </w:rPr>
        <w:t xml:space="preserve">elle medie imprese che non punteranno </w:t>
      </w:r>
      <w:r w:rsidR="00AC750B">
        <w:rPr>
          <w:rFonts w:ascii="Century Gothic" w:hAnsi="Century Gothic" w:cs="Calibri"/>
          <w:bCs/>
          <w:color w:val="003366"/>
          <w:sz w:val="20"/>
        </w:rPr>
        <w:t>su questa trasformazione</w:t>
      </w:r>
      <w:r w:rsidR="00E42BCB" w:rsidRPr="002122D9">
        <w:rPr>
          <w:rFonts w:ascii="Century Gothic" w:hAnsi="Century Gothic" w:cs="Calibri"/>
          <w:bCs/>
          <w:color w:val="003366"/>
          <w:sz w:val="20"/>
        </w:rPr>
        <w:t xml:space="preserve"> al 34% di quelle che vi investiranno. Tra</w:t>
      </w:r>
      <w:r w:rsidR="00E42BCB" w:rsidRPr="00BA6753">
        <w:rPr>
          <w:rFonts w:ascii="Century Gothic" w:hAnsi="Century Gothic" w:cs="Calibri"/>
          <w:bCs/>
          <w:color w:val="003366"/>
          <w:sz w:val="20"/>
        </w:rPr>
        <w:t xml:space="preserve"> il 2023 e il 2025 o</w:t>
      </w:r>
      <w:r w:rsidR="000654C4" w:rsidRPr="00BA6753">
        <w:rPr>
          <w:rFonts w:ascii="Century Gothic" w:hAnsi="Century Gothic" w:cs="Calibri"/>
          <w:bCs/>
          <w:color w:val="003366"/>
          <w:sz w:val="20"/>
        </w:rPr>
        <w:t xml:space="preserve">ltre il 60% delle medie </w:t>
      </w:r>
      <w:r w:rsidR="000654C4" w:rsidRPr="001C7CBF">
        <w:rPr>
          <w:rFonts w:ascii="Century Gothic" w:hAnsi="Century Gothic" w:cs="Calibri"/>
          <w:bCs/>
          <w:color w:val="003366"/>
          <w:sz w:val="20"/>
        </w:rPr>
        <w:t xml:space="preserve">imprese prevede di investire nella </w:t>
      </w:r>
      <w:r w:rsidR="00AC750B">
        <w:rPr>
          <w:rFonts w:ascii="Century Gothic" w:hAnsi="Century Gothic" w:cs="Calibri"/>
          <w:bCs/>
          <w:color w:val="003366"/>
          <w:sz w:val="20"/>
        </w:rPr>
        <w:t>Duplice</w:t>
      </w:r>
      <w:r w:rsidR="000654C4" w:rsidRPr="009D7548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9D7548">
        <w:rPr>
          <w:rFonts w:ascii="Century Gothic" w:hAnsi="Century Gothic" w:cs="Calibri"/>
          <w:bCs/>
          <w:color w:val="003366"/>
          <w:sz w:val="20"/>
        </w:rPr>
        <w:t>T</w:t>
      </w:r>
      <w:r w:rsidR="000654C4" w:rsidRPr="009D7548">
        <w:rPr>
          <w:rFonts w:ascii="Century Gothic" w:hAnsi="Century Gothic" w:cs="Calibri"/>
          <w:bCs/>
          <w:color w:val="003366"/>
          <w:sz w:val="20"/>
        </w:rPr>
        <w:t>ransizione e</w:t>
      </w:r>
      <w:r w:rsidR="009D7548">
        <w:rPr>
          <w:rFonts w:ascii="Century Gothic" w:hAnsi="Century Gothic" w:cs="Calibri"/>
          <w:bCs/>
          <w:color w:val="003366"/>
          <w:sz w:val="20"/>
        </w:rPr>
        <w:t>,</w:t>
      </w:r>
      <w:r w:rsidR="000654C4" w:rsidRPr="009D7548">
        <w:rPr>
          <w:rFonts w:ascii="Century Gothic" w:hAnsi="Century Gothic" w:cs="Calibri"/>
          <w:bCs/>
          <w:color w:val="003366"/>
          <w:sz w:val="20"/>
        </w:rPr>
        <w:t xml:space="preserve"> di queste</w:t>
      </w:r>
      <w:r w:rsidR="009D7548">
        <w:rPr>
          <w:rFonts w:ascii="Century Gothic" w:hAnsi="Century Gothic" w:cs="Calibri"/>
          <w:bCs/>
          <w:color w:val="003366"/>
          <w:sz w:val="20"/>
        </w:rPr>
        <w:t>,</w:t>
      </w:r>
      <w:r w:rsidR="000654C4" w:rsidRPr="009D7548">
        <w:rPr>
          <w:rFonts w:ascii="Century Gothic" w:hAnsi="Century Gothic" w:cs="Calibri"/>
          <w:bCs/>
          <w:color w:val="003366"/>
          <w:sz w:val="20"/>
        </w:rPr>
        <w:t xml:space="preserve"> quasi il 25% lo farà per la prima volta</w:t>
      </w:r>
      <w:r w:rsidR="000654C4" w:rsidRPr="00BA6753">
        <w:rPr>
          <w:rFonts w:ascii="Century Gothic" w:hAnsi="Century Gothic" w:cs="Calibri"/>
          <w:bCs/>
          <w:color w:val="003366"/>
          <w:sz w:val="20"/>
        </w:rPr>
        <w:t xml:space="preserve">. </w:t>
      </w:r>
      <w:r w:rsidR="00E42BCB" w:rsidRPr="00BA6753">
        <w:rPr>
          <w:rFonts w:ascii="Century Gothic" w:hAnsi="Century Gothic" w:cs="Calibri"/>
          <w:bCs/>
          <w:color w:val="003366"/>
          <w:sz w:val="20"/>
        </w:rPr>
        <w:t xml:space="preserve">Tuttavia, quando le imprese investono anche nella formazione del </w:t>
      </w:r>
      <w:r w:rsidR="001C7CBF">
        <w:rPr>
          <w:rFonts w:ascii="Century Gothic" w:hAnsi="Century Gothic" w:cs="Calibri"/>
          <w:bCs/>
          <w:color w:val="003366"/>
          <w:sz w:val="20"/>
        </w:rPr>
        <w:t>C</w:t>
      </w:r>
      <w:r w:rsidR="00E42BCB" w:rsidRPr="00BA6753">
        <w:rPr>
          <w:rFonts w:ascii="Century Gothic" w:hAnsi="Century Gothic" w:cs="Calibri"/>
          <w:bCs/>
          <w:color w:val="003366"/>
          <w:sz w:val="20"/>
        </w:rPr>
        <w:t xml:space="preserve">apitale </w:t>
      </w:r>
      <w:r w:rsidR="001C7CBF">
        <w:rPr>
          <w:rFonts w:ascii="Century Gothic" w:hAnsi="Century Gothic" w:cs="Calibri"/>
          <w:bCs/>
          <w:color w:val="003366"/>
          <w:sz w:val="20"/>
        </w:rPr>
        <w:t>U</w:t>
      </w:r>
      <w:r w:rsidR="00E42BCB" w:rsidRPr="00BA6753">
        <w:rPr>
          <w:rFonts w:ascii="Century Gothic" w:hAnsi="Century Gothic" w:cs="Calibri"/>
          <w:bCs/>
          <w:color w:val="003366"/>
          <w:sz w:val="20"/>
        </w:rPr>
        <w:t>mano</w:t>
      </w:r>
      <w:r w:rsidR="003E4383">
        <w:rPr>
          <w:rFonts w:ascii="Century Gothic" w:hAnsi="Century Gothic" w:cs="Calibri"/>
          <w:bCs/>
          <w:color w:val="003366"/>
          <w:sz w:val="20"/>
        </w:rPr>
        <w:t>,</w:t>
      </w:r>
      <w:r w:rsidR="00E42BCB" w:rsidRPr="00BA6753">
        <w:rPr>
          <w:rFonts w:ascii="Century Gothic" w:hAnsi="Century Gothic" w:cs="Calibri"/>
          <w:bCs/>
          <w:color w:val="003366"/>
          <w:sz w:val="20"/>
        </w:rPr>
        <w:t xml:space="preserve"> le aspettative</w:t>
      </w:r>
      <w:r w:rsidR="00E42BCB" w:rsidRPr="001C7CBF">
        <w:rPr>
          <w:rFonts w:ascii="Century Gothic" w:hAnsi="Century Gothic" w:cs="Calibri"/>
          <w:bCs/>
          <w:color w:val="003366"/>
          <w:sz w:val="20"/>
        </w:rPr>
        <w:t xml:space="preserve"> di crescita </w:t>
      </w:r>
      <w:r w:rsidR="00FF7D08" w:rsidRPr="002A4615">
        <w:rPr>
          <w:rFonts w:ascii="Century Gothic" w:hAnsi="Century Gothic" w:cs="Calibri"/>
          <w:bCs/>
          <w:color w:val="003366"/>
          <w:sz w:val="20"/>
        </w:rPr>
        <w:t xml:space="preserve">del fatturato </w:t>
      </w:r>
      <w:r w:rsidR="00E42BCB" w:rsidRPr="002A4615">
        <w:rPr>
          <w:rFonts w:ascii="Century Gothic" w:hAnsi="Century Gothic" w:cs="Calibri"/>
          <w:bCs/>
          <w:color w:val="003366"/>
          <w:sz w:val="20"/>
        </w:rPr>
        <w:t>coinvolgono il 46%</w:t>
      </w:r>
      <w:r w:rsidR="00E42BCB" w:rsidRPr="00F05DDB">
        <w:rPr>
          <w:rFonts w:ascii="Century Gothic" w:hAnsi="Century Gothic" w:cs="Calibri"/>
          <w:bCs/>
          <w:color w:val="003366"/>
          <w:sz w:val="20"/>
        </w:rPr>
        <w:t xml:space="preserve"> del campion</w:t>
      </w:r>
      <w:r w:rsidR="002E40F9" w:rsidRPr="00F05DDB">
        <w:rPr>
          <w:rFonts w:ascii="Century Gothic" w:hAnsi="Century Gothic" w:cs="Calibri"/>
          <w:bCs/>
          <w:color w:val="003366"/>
          <w:sz w:val="20"/>
        </w:rPr>
        <w:t>e.</w:t>
      </w:r>
    </w:p>
    <w:p w14:paraId="69E93E7F" w14:textId="77777777" w:rsidR="000B2E16" w:rsidRDefault="000B2E16" w:rsidP="00E87843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59C8E2CD" w14:textId="63A18D3C" w:rsidR="00E87843" w:rsidRDefault="00E87843" w:rsidP="00E87843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  <w:r w:rsidRPr="00925D96">
        <w:rPr>
          <w:rFonts w:ascii="Century Gothic" w:hAnsi="Century Gothic" w:cs="Calibri"/>
          <w:b/>
          <w:color w:val="003366"/>
          <w:sz w:val="16"/>
          <w:szCs w:val="16"/>
        </w:rPr>
        <w:t xml:space="preserve">Quota % di </w:t>
      </w:r>
      <w:r w:rsidR="00131776">
        <w:rPr>
          <w:rFonts w:ascii="Century Gothic" w:hAnsi="Century Gothic" w:cs="Calibri"/>
          <w:b/>
          <w:color w:val="003366"/>
          <w:sz w:val="16"/>
          <w:szCs w:val="16"/>
        </w:rPr>
        <w:t>m</w:t>
      </w:r>
      <w:r w:rsidR="00FC2A95" w:rsidRPr="00925D96">
        <w:rPr>
          <w:rFonts w:ascii="Century Gothic" w:hAnsi="Century Gothic" w:cs="Calibri"/>
          <w:b/>
          <w:color w:val="003366"/>
          <w:sz w:val="16"/>
          <w:szCs w:val="16"/>
        </w:rPr>
        <w:t xml:space="preserve">edie </w:t>
      </w:r>
      <w:r w:rsidR="00131776">
        <w:rPr>
          <w:rFonts w:ascii="Century Gothic" w:hAnsi="Century Gothic" w:cs="Calibri"/>
          <w:b/>
          <w:color w:val="003366"/>
          <w:sz w:val="16"/>
          <w:szCs w:val="16"/>
        </w:rPr>
        <w:t>i</w:t>
      </w:r>
      <w:r w:rsidR="00FC2A95" w:rsidRPr="00925D96">
        <w:rPr>
          <w:rFonts w:ascii="Century Gothic" w:hAnsi="Century Gothic" w:cs="Calibri"/>
          <w:b/>
          <w:color w:val="003366"/>
          <w:sz w:val="16"/>
          <w:szCs w:val="16"/>
        </w:rPr>
        <w:t>mprese</w:t>
      </w:r>
      <w:r w:rsidRPr="00925D96">
        <w:rPr>
          <w:rFonts w:ascii="Century Gothic" w:hAnsi="Century Gothic" w:cs="Calibri"/>
          <w:b/>
          <w:color w:val="003366"/>
          <w:sz w:val="16"/>
          <w:szCs w:val="16"/>
        </w:rPr>
        <w:t xml:space="preserve"> che prevede un aumento del fatturato nel triennio 2023-25 a seconda degli investimenti nella Duplice Transizione (DT) e nel Capitale Umano</w:t>
      </w:r>
    </w:p>
    <w:p w14:paraId="63EB1C35" w14:textId="77777777" w:rsidR="003E4383" w:rsidRPr="00F05DDB" w:rsidRDefault="003E4383" w:rsidP="00E87843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2E75F854" w14:textId="57FFAF3E" w:rsidR="00E87843" w:rsidRDefault="00F05DDB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F05DDB">
        <w:rPr>
          <w:rFonts w:ascii="Century Gothic" w:hAnsi="Century Gothic" w:cs="Calibri"/>
          <w:bCs/>
          <w:noProof/>
          <w:color w:val="003366"/>
          <w:sz w:val="20"/>
        </w:rPr>
        <w:drawing>
          <wp:inline distT="0" distB="0" distL="0" distR="0" wp14:anchorId="06F2D39D" wp14:editId="55676F2A">
            <wp:extent cx="5580380" cy="1877695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388DDC6-130F-498F-ABD2-473DBA48FF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44159E" w14:textId="77777777" w:rsidR="00F05DDB" w:rsidRPr="00925D96" w:rsidRDefault="00F05DDB" w:rsidP="00E87843">
      <w:pPr>
        <w:spacing w:line="276" w:lineRule="auto"/>
        <w:rPr>
          <w:rFonts w:ascii="Century Gothic" w:hAnsi="Century Gothic" w:cs="Calibri"/>
          <w:bCs/>
          <w:color w:val="003366"/>
          <w:sz w:val="14"/>
          <w:szCs w:val="14"/>
        </w:rPr>
      </w:pPr>
      <w:r w:rsidRPr="00925D96">
        <w:rPr>
          <w:rFonts w:ascii="Century Gothic" w:hAnsi="Century Gothic" w:cs="Calibri"/>
          <w:i/>
          <w:iCs/>
          <w:color w:val="003366"/>
          <w:sz w:val="14"/>
          <w:szCs w:val="14"/>
        </w:rPr>
        <w:t>Fonte</w:t>
      </w:r>
      <w:r w:rsidRPr="00925D96">
        <w:rPr>
          <w:rFonts w:ascii="Century Gothic" w:hAnsi="Century Gothic" w:cs="Calibri"/>
          <w:color w:val="003366"/>
          <w:sz w:val="14"/>
          <w:szCs w:val="14"/>
        </w:rPr>
        <w:t>: Indagine Centro Studi Tagliacarne-Unioncamere, 2023</w:t>
      </w:r>
    </w:p>
    <w:p w14:paraId="6EA2593D" w14:textId="152AA87D" w:rsidR="00E87843" w:rsidRPr="00E5573F" w:rsidRDefault="00E87843" w:rsidP="00E87843">
      <w:pPr>
        <w:spacing w:line="276" w:lineRule="auto"/>
        <w:rPr>
          <w:rFonts w:ascii="Century Gothic" w:hAnsi="Century Gothic" w:cs="Calibri"/>
          <w:bCs/>
          <w:color w:val="003366"/>
          <w:sz w:val="14"/>
          <w:szCs w:val="14"/>
        </w:rPr>
      </w:pPr>
    </w:p>
    <w:p w14:paraId="3568B512" w14:textId="77777777" w:rsidR="00E87843" w:rsidRPr="00E87843" w:rsidRDefault="00E87843" w:rsidP="00E87843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66AC161D" w14:textId="7B66726E" w:rsidR="00E87843" w:rsidRDefault="00E87843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604131D5" w14:textId="4FD6A4C1" w:rsidR="00515448" w:rsidRDefault="003E4383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>
        <w:rPr>
          <w:rFonts w:ascii="Century Gothic" w:eastAsia="Calibri" w:hAnsi="Century Gothic"/>
          <w:b/>
          <w:color w:val="003366"/>
          <w:szCs w:val="24"/>
        </w:rPr>
        <w:t>Trattenere i talenti</w:t>
      </w:r>
      <w:r w:rsidR="00515448" w:rsidRPr="002E13A6">
        <w:rPr>
          <w:rFonts w:ascii="Century Gothic" w:eastAsia="Calibri" w:hAnsi="Century Gothic"/>
          <w:b/>
          <w:color w:val="003366"/>
          <w:szCs w:val="24"/>
        </w:rPr>
        <w:t xml:space="preserve">: </w:t>
      </w:r>
      <w:r w:rsidR="00E036E5">
        <w:rPr>
          <w:rFonts w:ascii="Century Gothic" w:eastAsia="Calibri" w:hAnsi="Century Gothic"/>
          <w:b/>
          <w:color w:val="003366"/>
          <w:szCs w:val="24"/>
        </w:rPr>
        <w:t xml:space="preserve">1 </w:t>
      </w:r>
      <w:r>
        <w:rPr>
          <w:rFonts w:ascii="Century Gothic" w:eastAsia="Calibri" w:hAnsi="Century Gothic"/>
          <w:b/>
          <w:color w:val="003366"/>
          <w:szCs w:val="24"/>
        </w:rPr>
        <w:t xml:space="preserve">media </w:t>
      </w:r>
      <w:r w:rsidR="00515448" w:rsidRPr="002E13A6">
        <w:rPr>
          <w:rFonts w:ascii="Century Gothic" w:eastAsia="Calibri" w:hAnsi="Century Gothic"/>
          <w:b/>
          <w:color w:val="003366"/>
          <w:szCs w:val="24"/>
        </w:rPr>
        <w:t xml:space="preserve">impresa su </w:t>
      </w:r>
      <w:r w:rsidR="00E036E5">
        <w:rPr>
          <w:rFonts w:ascii="Century Gothic" w:eastAsia="Calibri" w:hAnsi="Century Gothic"/>
          <w:b/>
          <w:color w:val="003366"/>
          <w:szCs w:val="24"/>
        </w:rPr>
        <w:t>2</w:t>
      </w:r>
      <w:r w:rsidR="00E036E5" w:rsidRPr="002E13A6">
        <w:rPr>
          <w:rFonts w:ascii="Century Gothic" w:eastAsia="Calibri" w:hAnsi="Century Gothic"/>
          <w:b/>
          <w:color w:val="003366"/>
          <w:szCs w:val="24"/>
        </w:rPr>
        <w:t xml:space="preserve"> </w:t>
      </w:r>
      <w:r w:rsidR="00515448" w:rsidRPr="002E13A6">
        <w:rPr>
          <w:rFonts w:ascii="Century Gothic" w:eastAsia="Calibri" w:hAnsi="Century Gothic"/>
          <w:b/>
          <w:color w:val="003366"/>
          <w:szCs w:val="24"/>
        </w:rPr>
        <w:t xml:space="preserve">punta su incrementi salariali </w:t>
      </w:r>
    </w:p>
    <w:p w14:paraId="4B5F0D2C" w14:textId="77777777" w:rsidR="002E13A6" w:rsidRPr="002E13A6" w:rsidRDefault="002E13A6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4FFE11A9" w14:textId="659595A1" w:rsidR="00051C8D" w:rsidRDefault="00515448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>
        <w:rPr>
          <w:rFonts w:ascii="Century Gothic" w:hAnsi="Century Gothic" w:cs="Calibri"/>
          <w:bCs/>
          <w:color w:val="003366"/>
          <w:sz w:val="20"/>
        </w:rPr>
        <w:t>La consapevolezza d</w:t>
      </w:r>
      <w:r w:rsidR="00F3612D">
        <w:rPr>
          <w:rFonts w:ascii="Century Gothic" w:hAnsi="Century Gothic" w:cs="Calibri"/>
          <w:bCs/>
          <w:color w:val="003366"/>
          <w:sz w:val="20"/>
        </w:rPr>
        <w:t xml:space="preserve">i dover contare </w:t>
      </w:r>
      <w:r w:rsidR="006E5385">
        <w:rPr>
          <w:rFonts w:ascii="Century Gothic" w:hAnsi="Century Gothic" w:cs="Calibri"/>
          <w:bCs/>
          <w:color w:val="003366"/>
          <w:sz w:val="20"/>
        </w:rPr>
        <w:t xml:space="preserve">su </w:t>
      </w:r>
      <w:r w:rsidR="0038026C">
        <w:rPr>
          <w:rFonts w:ascii="Century Gothic" w:hAnsi="Century Gothic" w:cs="Calibri"/>
          <w:bCs/>
          <w:color w:val="003366"/>
          <w:sz w:val="20"/>
        </w:rPr>
        <w:t>C</w:t>
      </w:r>
      <w:r>
        <w:rPr>
          <w:rFonts w:ascii="Century Gothic" w:hAnsi="Century Gothic" w:cs="Calibri"/>
          <w:bCs/>
          <w:color w:val="003366"/>
          <w:sz w:val="20"/>
        </w:rPr>
        <w:t xml:space="preserve">apitale </w:t>
      </w:r>
      <w:r w:rsidR="0038026C">
        <w:rPr>
          <w:rFonts w:ascii="Century Gothic" w:hAnsi="Century Gothic" w:cs="Calibri"/>
          <w:bCs/>
          <w:color w:val="003366"/>
          <w:sz w:val="20"/>
        </w:rPr>
        <w:t>U</w:t>
      </w:r>
      <w:r>
        <w:rPr>
          <w:rFonts w:ascii="Century Gothic" w:hAnsi="Century Gothic" w:cs="Calibri"/>
          <w:bCs/>
          <w:color w:val="003366"/>
          <w:sz w:val="20"/>
        </w:rPr>
        <w:t xml:space="preserve">mano adeguato per migliorare la propria competitività ha favorito anche lo sviluppo di politiche specifiche per trattenere i migliori talenti. 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La leva economica è </w:t>
      </w:r>
      <w:r w:rsidR="00F3612D" w:rsidRPr="00D80E43">
        <w:rPr>
          <w:rFonts w:ascii="Century Gothic" w:hAnsi="Century Gothic" w:cs="Calibri"/>
          <w:bCs/>
          <w:color w:val="003366"/>
          <w:sz w:val="20"/>
        </w:rPr>
        <w:t xml:space="preserve">la più </w:t>
      </w:r>
      <w:r w:rsidR="00D80E43">
        <w:rPr>
          <w:rFonts w:ascii="Century Gothic" w:hAnsi="Century Gothic" w:cs="Calibri"/>
          <w:bCs/>
          <w:color w:val="003366"/>
          <w:sz w:val="20"/>
        </w:rPr>
        <w:t>considerata</w:t>
      </w:r>
      <w:r w:rsidR="00024465">
        <w:rPr>
          <w:rFonts w:ascii="Century Gothic" w:hAnsi="Century Gothic" w:cs="Calibri"/>
          <w:bCs/>
          <w:color w:val="003366"/>
          <w:sz w:val="20"/>
        </w:rPr>
        <w:t xml:space="preserve"> e infatti</w:t>
      </w:r>
      <w:r w:rsidR="00D80E43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F3612D">
        <w:rPr>
          <w:rFonts w:ascii="Century Gothic" w:hAnsi="Century Gothic" w:cs="Calibri"/>
          <w:bCs/>
          <w:color w:val="003366"/>
          <w:sz w:val="20"/>
        </w:rPr>
        <w:t>il 50% adotta</w:t>
      </w:r>
      <w:r w:rsidR="00E036E5">
        <w:rPr>
          <w:rFonts w:ascii="Century Gothic" w:hAnsi="Century Gothic" w:cs="Calibri"/>
          <w:bCs/>
          <w:color w:val="003366"/>
          <w:sz w:val="20"/>
        </w:rPr>
        <w:t xml:space="preserve"> incrementi salariali</w:t>
      </w:r>
      <w:r w:rsidR="00F3612D">
        <w:rPr>
          <w:rFonts w:ascii="Century Gothic" w:hAnsi="Century Gothic" w:cs="Calibri"/>
          <w:bCs/>
          <w:color w:val="003366"/>
          <w:sz w:val="20"/>
        </w:rPr>
        <w:t xml:space="preserve"> </w:t>
      </w:r>
      <w:r>
        <w:rPr>
          <w:rFonts w:ascii="Century Gothic" w:hAnsi="Century Gothic" w:cs="Calibri"/>
          <w:bCs/>
          <w:color w:val="003366"/>
          <w:sz w:val="20"/>
        </w:rPr>
        <w:t>per scongiurare il fenomeno delle dimissioni spontanee</w:t>
      </w:r>
      <w:r w:rsidR="0038026C">
        <w:rPr>
          <w:rFonts w:ascii="Century Gothic" w:hAnsi="Century Gothic" w:cs="Calibri"/>
          <w:bCs/>
          <w:color w:val="003366"/>
          <w:sz w:val="20"/>
        </w:rPr>
        <w:t>,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8026C">
        <w:rPr>
          <w:rFonts w:ascii="Century Gothic" w:hAnsi="Century Gothic" w:cs="Calibri"/>
          <w:bCs/>
          <w:color w:val="003366"/>
          <w:sz w:val="20"/>
        </w:rPr>
        <w:t>m</w:t>
      </w:r>
      <w:r>
        <w:rPr>
          <w:rFonts w:ascii="Century Gothic" w:hAnsi="Century Gothic" w:cs="Calibri"/>
          <w:bCs/>
          <w:color w:val="003366"/>
          <w:sz w:val="20"/>
        </w:rPr>
        <w:t xml:space="preserve">entre </w:t>
      </w:r>
      <w:r w:rsidR="00F3612D">
        <w:rPr>
          <w:rFonts w:ascii="Century Gothic" w:hAnsi="Century Gothic" w:cs="Calibri"/>
          <w:bCs/>
          <w:color w:val="003366"/>
          <w:sz w:val="20"/>
        </w:rPr>
        <w:t>i</w:t>
      </w:r>
      <w:r>
        <w:rPr>
          <w:rFonts w:ascii="Century Gothic" w:hAnsi="Century Gothic" w:cs="Calibri"/>
          <w:bCs/>
          <w:color w:val="003366"/>
          <w:sz w:val="20"/>
        </w:rPr>
        <w:t xml:space="preserve">l </w:t>
      </w:r>
      <w:r w:rsidR="00F3612D">
        <w:rPr>
          <w:rFonts w:ascii="Century Gothic" w:hAnsi="Century Gothic" w:cs="Calibri"/>
          <w:bCs/>
          <w:color w:val="003366"/>
          <w:sz w:val="20"/>
        </w:rPr>
        <w:t xml:space="preserve">29% punta sui benefit aziendali e il 27% sulla flessibilità degli orari di lavoro. </w:t>
      </w:r>
      <w:r w:rsidR="006E5385">
        <w:rPr>
          <w:rFonts w:ascii="Century Gothic" w:hAnsi="Century Gothic" w:cs="Calibri"/>
          <w:bCs/>
          <w:color w:val="003366"/>
          <w:sz w:val="20"/>
        </w:rPr>
        <w:t>S</w:t>
      </w:r>
      <w:r w:rsidR="00F3612D">
        <w:rPr>
          <w:rFonts w:ascii="Century Gothic" w:hAnsi="Century Gothic" w:cs="Calibri"/>
          <w:bCs/>
          <w:color w:val="003366"/>
          <w:sz w:val="20"/>
        </w:rPr>
        <w:t>olo il 13</w:t>
      </w:r>
      <w:r w:rsidR="006E5385">
        <w:rPr>
          <w:rFonts w:ascii="Century Gothic" w:hAnsi="Century Gothic" w:cs="Calibri"/>
          <w:bCs/>
          <w:color w:val="003366"/>
          <w:sz w:val="20"/>
        </w:rPr>
        <w:t>%</w:t>
      </w:r>
      <w:r w:rsidR="00F3612D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8026C" w:rsidRPr="00333EA7">
        <w:rPr>
          <w:rFonts w:ascii="Century Gothic" w:hAnsi="Century Gothic" w:cs="Calibri"/>
          <w:bCs/>
          <w:color w:val="003366"/>
          <w:sz w:val="20"/>
        </w:rPr>
        <w:t>incentiva lo</w:t>
      </w:r>
      <w:r w:rsidR="0038026C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F3612D">
        <w:rPr>
          <w:rFonts w:ascii="Century Gothic" w:hAnsi="Century Gothic" w:cs="Calibri"/>
          <w:bCs/>
          <w:color w:val="003366"/>
          <w:sz w:val="20"/>
        </w:rPr>
        <w:t>smart-working.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</w:p>
    <w:p w14:paraId="3A40649B" w14:textId="77777777" w:rsidR="00D5485F" w:rsidRDefault="00D5485F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68E99F2B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4B441D52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3398CB72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2ABCF701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34D47F17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7A1634FF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1FB5FD46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6D119548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40230148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648AC6F5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79443886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71B13C36" w14:textId="77777777" w:rsidR="004E11F0" w:rsidRDefault="004E11F0" w:rsidP="00051C8D">
      <w:pPr>
        <w:spacing w:line="276" w:lineRule="auto"/>
        <w:rPr>
          <w:rFonts w:ascii="Century Gothic" w:hAnsi="Century Gothic" w:cs="Calibri"/>
          <w:b/>
          <w:color w:val="003366"/>
          <w:sz w:val="16"/>
          <w:szCs w:val="16"/>
        </w:rPr>
      </w:pPr>
    </w:p>
    <w:p w14:paraId="6D5D1F78" w14:textId="6655DC30" w:rsidR="00051C8D" w:rsidRDefault="00051C8D" w:rsidP="00051C8D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925D96">
        <w:rPr>
          <w:rFonts w:ascii="Century Gothic" w:hAnsi="Century Gothic" w:cs="Calibri"/>
          <w:b/>
          <w:color w:val="003366"/>
          <w:sz w:val="16"/>
          <w:szCs w:val="16"/>
        </w:rPr>
        <w:t xml:space="preserve">Pratiche adottate dalle </w:t>
      </w:r>
      <w:r w:rsidR="00131776">
        <w:rPr>
          <w:rFonts w:ascii="Century Gothic" w:hAnsi="Century Gothic" w:cs="Calibri"/>
          <w:b/>
          <w:color w:val="003366"/>
          <w:sz w:val="16"/>
          <w:szCs w:val="16"/>
        </w:rPr>
        <w:t>m</w:t>
      </w:r>
      <w:r w:rsidRPr="00925D96">
        <w:rPr>
          <w:rFonts w:ascii="Century Gothic" w:hAnsi="Century Gothic" w:cs="Calibri"/>
          <w:b/>
          <w:color w:val="003366"/>
          <w:sz w:val="16"/>
          <w:szCs w:val="16"/>
        </w:rPr>
        <w:t xml:space="preserve">edie </w:t>
      </w:r>
      <w:r w:rsidR="00131776">
        <w:rPr>
          <w:rFonts w:ascii="Century Gothic" w:hAnsi="Century Gothic" w:cs="Calibri"/>
          <w:b/>
          <w:color w:val="003366"/>
          <w:sz w:val="16"/>
          <w:szCs w:val="16"/>
        </w:rPr>
        <w:t>i</w:t>
      </w:r>
      <w:r w:rsidRPr="00925D96">
        <w:rPr>
          <w:rFonts w:ascii="Century Gothic" w:hAnsi="Century Gothic" w:cs="Calibri"/>
          <w:b/>
          <w:color w:val="003366"/>
          <w:sz w:val="16"/>
          <w:szCs w:val="16"/>
        </w:rPr>
        <w:t>mprese per trattenere i talenti in azienda (quote %)</w:t>
      </w:r>
    </w:p>
    <w:p w14:paraId="288D3548" w14:textId="66C80526" w:rsidR="00051C8D" w:rsidRDefault="006A6111" w:rsidP="00051C8D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6A6111">
        <w:rPr>
          <w:rFonts w:ascii="Century Gothic" w:hAnsi="Century Gothic" w:cs="Calibri"/>
          <w:bCs/>
          <w:noProof/>
          <w:color w:val="003366"/>
          <w:sz w:val="20"/>
        </w:rPr>
        <w:lastRenderedPageBreak/>
        <w:drawing>
          <wp:inline distT="0" distB="0" distL="0" distR="0" wp14:anchorId="227A7D04" wp14:editId="0FD5CBCB">
            <wp:extent cx="5580380" cy="2944586"/>
            <wp:effectExtent l="0" t="0" r="1270" b="8255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645B3956-3A8F-43BD-AD2C-58F3B985B1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6B615E" w14:textId="22831743" w:rsidR="006A6111" w:rsidRPr="00315193" w:rsidRDefault="006A6111" w:rsidP="00051C8D">
      <w:pPr>
        <w:spacing w:line="276" w:lineRule="auto"/>
        <w:rPr>
          <w:rFonts w:ascii="Century Gothic" w:hAnsi="Century Gothic" w:cs="Calibri"/>
          <w:bCs/>
          <w:color w:val="003366"/>
          <w:sz w:val="14"/>
          <w:szCs w:val="14"/>
        </w:rPr>
      </w:pPr>
      <w:r w:rsidRPr="00315193">
        <w:rPr>
          <w:rFonts w:ascii="Century Gothic" w:hAnsi="Century Gothic" w:cs="Calibri"/>
          <w:bCs/>
          <w:i/>
          <w:iCs/>
          <w:color w:val="003366"/>
          <w:sz w:val="14"/>
          <w:szCs w:val="14"/>
        </w:rPr>
        <w:t>Fonte</w:t>
      </w:r>
      <w:r w:rsidRPr="00315193">
        <w:rPr>
          <w:rFonts w:ascii="Century Gothic" w:hAnsi="Century Gothic" w:cs="Calibri"/>
          <w:bCs/>
          <w:color w:val="003366"/>
          <w:sz w:val="14"/>
          <w:szCs w:val="14"/>
        </w:rPr>
        <w:t>: Indagine Centro Studi Tagliacarne-Unioncamere, 2023</w:t>
      </w:r>
    </w:p>
    <w:p w14:paraId="4C41DA35" w14:textId="1476E63D" w:rsidR="00051C8D" w:rsidRPr="00315193" w:rsidRDefault="00051C8D" w:rsidP="00051C8D">
      <w:pPr>
        <w:spacing w:line="276" w:lineRule="auto"/>
        <w:rPr>
          <w:rFonts w:ascii="Century Gothic" w:hAnsi="Century Gothic" w:cs="Calibri"/>
          <w:bCs/>
          <w:color w:val="003366"/>
          <w:sz w:val="14"/>
          <w:szCs w:val="14"/>
        </w:rPr>
      </w:pPr>
      <w:r w:rsidRPr="00315193">
        <w:rPr>
          <w:rFonts w:ascii="Century Gothic" w:hAnsi="Century Gothic" w:cs="Calibri"/>
          <w:bCs/>
          <w:color w:val="003366"/>
          <w:sz w:val="14"/>
          <w:szCs w:val="14"/>
        </w:rPr>
        <w:t>Domanda a risposta multipla eccetto «Nessuna pratica adottata» (risposta esclusiva)</w:t>
      </w:r>
    </w:p>
    <w:p w14:paraId="29470BD6" w14:textId="77777777" w:rsidR="00051C8D" w:rsidRDefault="00051C8D" w:rsidP="00051C8D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67CEC927" w14:textId="1DDDAEC5" w:rsidR="009561F0" w:rsidRDefault="00316799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>
        <w:rPr>
          <w:rFonts w:ascii="Century Gothic" w:eastAsia="Calibri" w:hAnsi="Century Gothic"/>
          <w:b/>
          <w:color w:val="003366"/>
          <w:szCs w:val="24"/>
        </w:rPr>
        <w:t>B</w:t>
      </w:r>
      <w:r w:rsidR="00486D63" w:rsidRPr="00316799">
        <w:rPr>
          <w:rFonts w:ascii="Century Gothic" w:eastAsia="Calibri" w:hAnsi="Century Gothic"/>
          <w:b/>
          <w:color w:val="003366"/>
          <w:szCs w:val="24"/>
        </w:rPr>
        <w:t>arriere culturali</w:t>
      </w:r>
      <w:r w:rsidR="001006B9" w:rsidRPr="00316799">
        <w:rPr>
          <w:rFonts w:ascii="Century Gothic" w:eastAsia="Calibri" w:hAnsi="Century Gothic"/>
          <w:b/>
          <w:color w:val="003366"/>
          <w:szCs w:val="24"/>
        </w:rPr>
        <w:t xml:space="preserve"> e scarsità delle risorse</w:t>
      </w:r>
      <w:r w:rsidR="00486D63" w:rsidRPr="00316799">
        <w:rPr>
          <w:rFonts w:ascii="Century Gothic" w:eastAsia="Calibri" w:hAnsi="Century Gothic"/>
          <w:b/>
          <w:color w:val="003366"/>
          <w:szCs w:val="24"/>
        </w:rPr>
        <w:t xml:space="preserve"> minano la </w:t>
      </w:r>
      <w:r>
        <w:rPr>
          <w:rFonts w:ascii="Century Gothic" w:eastAsia="Calibri" w:hAnsi="Century Gothic"/>
          <w:b/>
          <w:color w:val="003366"/>
          <w:szCs w:val="24"/>
        </w:rPr>
        <w:t>T</w:t>
      </w:r>
      <w:r w:rsidR="00486D63" w:rsidRPr="00316799">
        <w:rPr>
          <w:rFonts w:ascii="Century Gothic" w:eastAsia="Calibri" w:hAnsi="Century Gothic"/>
          <w:b/>
          <w:color w:val="003366"/>
          <w:szCs w:val="24"/>
        </w:rPr>
        <w:t>ransizione</w:t>
      </w:r>
    </w:p>
    <w:p w14:paraId="093A3135" w14:textId="77777777" w:rsidR="00316799" w:rsidRPr="00316799" w:rsidRDefault="00316799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7AD84880" w14:textId="4582946A" w:rsidR="00201E1D" w:rsidRDefault="001006B9" w:rsidP="00201E1D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925D96">
        <w:rPr>
          <w:rFonts w:ascii="Century Gothic" w:hAnsi="Century Gothic" w:cs="Calibri"/>
          <w:b/>
          <w:color w:val="003366"/>
          <w:sz w:val="20"/>
        </w:rPr>
        <w:t xml:space="preserve">Se per metà delle imprese la </w:t>
      </w:r>
      <w:r w:rsidR="006A33EE" w:rsidRPr="00925D96">
        <w:rPr>
          <w:rFonts w:ascii="Century Gothic" w:hAnsi="Century Gothic" w:cs="Calibri"/>
          <w:b/>
          <w:color w:val="003366"/>
          <w:sz w:val="20"/>
        </w:rPr>
        <w:t>D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oppia </w:t>
      </w:r>
      <w:r w:rsidR="006A33EE" w:rsidRPr="00925D96">
        <w:rPr>
          <w:rFonts w:ascii="Century Gothic" w:hAnsi="Century Gothic" w:cs="Calibri"/>
          <w:b/>
          <w:color w:val="003366"/>
          <w:sz w:val="20"/>
        </w:rPr>
        <w:t>T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ransizione è a portata di mano, </w:t>
      </w:r>
      <w:r w:rsidR="00492B6E">
        <w:rPr>
          <w:rFonts w:ascii="Century Gothic" w:hAnsi="Century Gothic" w:cs="Calibri"/>
          <w:b/>
          <w:color w:val="003366"/>
          <w:sz w:val="20"/>
        </w:rPr>
        <w:t xml:space="preserve">per 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l’altra metà </w:t>
      </w:r>
      <w:r w:rsidRPr="00361C45">
        <w:rPr>
          <w:rFonts w:ascii="Century Gothic" w:hAnsi="Century Gothic" w:cs="Calibri"/>
          <w:bCs/>
          <w:color w:val="003366"/>
          <w:sz w:val="20"/>
        </w:rPr>
        <w:t>è un obiettivo pieno di ostacoli</w:t>
      </w:r>
      <w:r>
        <w:rPr>
          <w:rFonts w:ascii="Century Gothic" w:hAnsi="Century Gothic" w:cs="Calibri"/>
          <w:bCs/>
          <w:color w:val="003366"/>
          <w:sz w:val="20"/>
        </w:rPr>
        <w:t xml:space="preserve">. A 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scoraggiare </w:t>
      </w:r>
      <w:r>
        <w:rPr>
          <w:rFonts w:ascii="Century Gothic" w:hAnsi="Century Gothic" w:cs="Calibri"/>
          <w:bCs/>
          <w:color w:val="003366"/>
          <w:sz w:val="20"/>
        </w:rPr>
        <w:t>gli investimenti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 in que</w:t>
      </w:r>
      <w:r w:rsidR="00401B33">
        <w:rPr>
          <w:rFonts w:ascii="Century Gothic" w:hAnsi="Century Gothic" w:cs="Calibri"/>
          <w:bCs/>
          <w:color w:val="003366"/>
          <w:sz w:val="20"/>
        </w:rPr>
        <w:t>s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ta direzione sono </w:t>
      </w:r>
      <w:r>
        <w:rPr>
          <w:rFonts w:ascii="Century Gothic" w:hAnsi="Century Gothic" w:cs="Calibri"/>
          <w:bCs/>
          <w:color w:val="003366"/>
          <w:sz w:val="20"/>
        </w:rPr>
        <w:t xml:space="preserve">soprattutto </w:t>
      </w:r>
      <w:r w:rsidRPr="00925D96">
        <w:rPr>
          <w:rFonts w:ascii="Century Gothic" w:hAnsi="Century Gothic" w:cs="Calibri"/>
          <w:b/>
          <w:color w:val="003366"/>
          <w:sz w:val="20"/>
        </w:rPr>
        <w:t>il deficit culturale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 (assenza di conoscenza dei vantaggi, mancanza di interesse del management) segnalato dal </w:t>
      </w:r>
      <w:r>
        <w:rPr>
          <w:rFonts w:ascii="Century Gothic" w:hAnsi="Century Gothic" w:cs="Calibri"/>
          <w:bCs/>
          <w:color w:val="003366"/>
          <w:sz w:val="20"/>
        </w:rPr>
        <w:t xml:space="preserve">33% delle medie imprese che non investiranno 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in </w:t>
      </w:r>
      <w:r w:rsidR="006A33EE">
        <w:rPr>
          <w:rFonts w:ascii="Century Gothic" w:hAnsi="Century Gothic" w:cs="Calibri"/>
          <w:bCs/>
          <w:color w:val="003366"/>
          <w:sz w:val="20"/>
        </w:rPr>
        <w:t>G</w:t>
      </w:r>
      <w:r w:rsidR="00201E1D">
        <w:rPr>
          <w:rFonts w:ascii="Century Gothic" w:hAnsi="Century Gothic" w:cs="Calibri"/>
          <w:bCs/>
          <w:color w:val="003366"/>
          <w:sz w:val="20"/>
        </w:rPr>
        <w:t>reen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e dal 27% di quelle che non investiranno nel </w:t>
      </w:r>
      <w:r w:rsidR="006A33EE">
        <w:rPr>
          <w:rFonts w:ascii="Century Gothic" w:hAnsi="Century Gothic" w:cs="Calibri"/>
          <w:bCs/>
          <w:color w:val="003366"/>
          <w:sz w:val="20"/>
        </w:rPr>
        <w:t>D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igitale </w:t>
      </w:r>
      <w:r>
        <w:rPr>
          <w:rFonts w:ascii="Century Gothic" w:hAnsi="Century Gothic" w:cs="Calibri"/>
          <w:bCs/>
          <w:color w:val="003366"/>
          <w:sz w:val="20"/>
        </w:rPr>
        <w:t xml:space="preserve">nel triennio 2023-2025. </w:t>
      </w:r>
      <w:r w:rsidR="007E5511">
        <w:rPr>
          <w:rFonts w:ascii="Century Gothic" w:hAnsi="Century Gothic" w:cs="Calibri"/>
          <w:b/>
          <w:color w:val="003366"/>
          <w:sz w:val="20"/>
        </w:rPr>
        <w:t>Gli aspetti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 economic</w:t>
      </w:r>
      <w:r w:rsidR="007E5511">
        <w:rPr>
          <w:rFonts w:ascii="Century Gothic" w:hAnsi="Century Gothic" w:cs="Calibri"/>
          <w:b/>
          <w:color w:val="003366"/>
          <w:sz w:val="20"/>
        </w:rPr>
        <w:t>i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401B33">
        <w:rPr>
          <w:rFonts w:ascii="Century Gothic" w:hAnsi="Century Gothic" w:cs="Calibri"/>
          <w:bCs/>
          <w:color w:val="003366"/>
          <w:sz w:val="20"/>
        </w:rPr>
        <w:t>(</w:t>
      </w:r>
      <w:r w:rsidR="00201E1D">
        <w:rPr>
          <w:rFonts w:ascii="Century Gothic" w:hAnsi="Century Gothic" w:cs="Calibri"/>
          <w:bCs/>
          <w:color w:val="003366"/>
          <w:sz w:val="20"/>
        </w:rPr>
        <w:t>scarsità delle risorse, problemi di accesso al credito, tassi di interesse elevati</w:t>
      </w:r>
      <w:r w:rsidR="00401B33">
        <w:rPr>
          <w:rFonts w:ascii="Century Gothic" w:hAnsi="Century Gothic" w:cs="Calibri"/>
          <w:bCs/>
          <w:color w:val="003366"/>
          <w:sz w:val="20"/>
        </w:rPr>
        <w:t xml:space="preserve">, costi delle tecnologie o delle materie prime </w:t>
      </w:r>
      <w:r w:rsidR="006A33EE">
        <w:rPr>
          <w:rFonts w:ascii="Century Gothic" w:hAnsi="Century Gothic" w:cs="Calibri"/>
          <w:bCs/>
          <w:color w:val="003366"/>
          <w:sz w:val="20"/>
        </w:rPr>
        <w:t>G</w:t>
      </w:r>
      <w:r w:rsidR="00401B33">
        <w:rPr>
          <w:rFonts w:ascii="Century Gothic" w:hAnsi="Century Gothic" w:cs="Calibri"/>
          <w:bCs/>
          <w:color w:val="003366"/>
          <w:sz w:val="20"/>
        </w:rPr>
        <w:t>reen troppo elevati</w:t>
      </w:r>
      <w:r w:rsidR="00201E1D">
        <w:rPr>
          <w:rFonts w:ascii="Century Gothic" w:hAnsi="Century Gothic" w:cs="Calibri"/>
          <w:bCs/>
          <w:color w:val="003366"/>
          <w:sz w:val="20"/>
        </w:rPr>
        <w:t>) sono</w:t>
      </w:r>
      <w:r>
        <w:rPr>
          <w:rFonts w:ascii="Century Gothic" w:hAnsi="Century Gothic" w:cs="Calibri"/>
          <w:bCs/>
          <w:color w:val="003366"/>
          <w:sz w:val="20"/>
        </w:rPr>
        <w:t xml:space="preserve"> un problema </w:t>
      </w:r>
      <w:r w:rsidR="00201E1D">
        <w:rPr>
          <w:rFonts w:ascii="Century Gothic" w:hAnsi="Century Gothic" w:cs="Calibri"/>
          <w:bCs/>
          <w:color w:val="003366"/>
          <w:sz w:val="20"/>
        </w:rPr>
        <w:t>particolarmente sentito da</w:t>
      </w:r>
      <w:r>
        <w:rPr>
          <w:rFonts w:ascii="Century Gothic" w:hAnsi="Century Gothic" w:cs="Calibri"/>
          <w:bCs/>
          <w:color w:val="003366"/>
          <w:sz w:val="20"/>
        </w:rPr>
        <w:t xml:space="preserve">l 29% </w:t>
      </w:r>
      <w:r w:rsidR="00201E1D">
        <w:rPr>
          <w:rFonts w:ascii="Century Gothic" w:hAnsi="Century Gothic" w:cs="Calibri"/>
          <w:bCs/>
          <w:color w:val="003366"/>
          <w:sz w:val="20"/>
        </w:rPr>
        <w:t xml:space="preserve">delle medie imprese che non investono nel verde e dal 31% di quelle che non investono nel </w:t>
      </w:r>
      <w:r w:rsidR="006A33EE">
        <w:rPr>
          <w:rFonts w:ascii="Century Gothic" w:hAnsi="Century Gothic" w:cs="Calibri"/>
          <w:bCs/>
          <w:color w:val="003366"/>
          <w:sz w:val="20"/>
        </w:rPr>
        <w:t>D</w:t>
      </w:r>
      <w:r w:rsidR="00201E1D">
        <w:rPr>
          <w:rFonts w:ascii="Century Gothic" w:hAnsi="Century Gothic" w:cs="Calibri"/>
          <w:bCs/>
          <w:color w:val="003366"/>
          <w:sz w:val="20"/>
        </w:rPr>
        <w:t>igitale.</w:t>
      </w:r>
    </w:p>
    <w:p w14:paraId="6C7A64B4" w14:textId="0E7940F9" w:rsidR="009561F0" w:rsidRDefault="009561F0" w:rsidP="001C2A16">
      <w:pPr>
        <w:spacing w:line="276" w:lineRule="auto"/>
        <w:jc w:val="center"/>
        <w:rPr>
          <w:rFonts w:ascii="Century Gothic" w:hAnsi="Century Gothic" w:cs="Calibri"/>
          <w:bCs/>
          <w:color w:val="003366"/>
          <w:sz w:val="20"/>
        </w:rPr>
      </w:pPr>
    </w:p>
    <w:p w14:paraId="7F989DE3" w14:textId="62D558FB" w:rsidR="00427FA6" w:rsidRDefault="007E3626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 w:rsidRPr="007E3626">
        <w:rPr>
          <w:rFonts w:ascii="Century Gothic" w:eastAsia="Calibri" w:hAnsi="Century Gothic"/>
          <w:b/>
          <w:color w:val="003366"/>
          <w:szCs w:val="24"/>
        </w:rPr>
        <w:t>Governance</w:t>
      </w:r>
      <w:r>
        <w:rPr>
          <w:rFonts w:ascii="Century Gothic" w:eastAsia="Calibri" w:hAnsi="Century Gothic"/>
          <w:b/>
          <w:color w:val="003366"/>
          <w:szCs w:val="24"/>
        </w:rPr>
        <w:t xml:space="preserve"> e apertura del capitale</w:t>
      </w:r>
      <w:r w:rsidR="00AA7FD7">
        <w:rPr>
          <w:rFonts w:ascii="Century Gothic" w:eastAsia="Calibri" w:hAnsi="Century Gothic"/>
          <w:b/>
          <w:color w:val="003366"/>
          <w:szCs w:val="24"/>
        </w:rPr>
        <w:t>, opportunità in crescita</w:t>
      </w:r>
    </w:p>
    <w:p w14:paraId="2685CC37" w14:textId="75F82787" w:rsidR="007E3626" w:rsidRDefault="007E3626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4C11662C" w14:textId="06ED1900" w:rsidR="007E3626" w:rsidRDefault="007E362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7E3626">
        <w:rPr>
          <w:rFonts w:ascii="Century Gothic" w:hAnsi="Century Gothic" w:cs="Calibri"/>
          <w:bCs/>
          <w:color w:val="003366"/>
          <w:sz w:val="20"/>
        </w:rPr>
        <w:t>Vi</w:t>
      </w:r>
      <w:r>
        <w:rPr>
          <w:rFonts w:ascii="Century Gothic" w:hAnsi="Century Gothic" w:cs="Calibri"/>
          <w:bCs/>
          <w:color w:val="003366"/>
          <w:sz w:val="20"/>
        </w:rPr>
        <w:t xml:space="preserve"> sono alcuni </w:t>
      </w:r>
      <w:r w:rsidRPr="007E3626">
        <w:rPr>
          <w:rFonts w:ascii="Century Gothic" w:hAnsi="Century Gothic" w:cs="Calibri"/>
          <w:b/>
          <w:color w:val="003366"/>
          <w:sz w:val="20"/>
        </w:rPr>
        <w:t xml:space="preserve">mutamenti strutturali nella </w:t>
      </w:r>
      <w:r w:rsidR="00A131B7">
        <w:rPr>
          <w:rFonts w:ascii="Century Gothic" w:hAnsi="Century Gothic" w:cs="Calibri"/>
          <w:b/>
          <w:color w:val="003366"/>
          <w:sz w:val="20"/>
        </w:rPr>
        <w:t>G</w:t>
      </w:r>
      <w:r w:rsidRPr="007E3626">
        <w:rPr>
          <w:rFonts w:ascii="Century Gothic" w:hAnsi="Century Gothic" w:cs="Calibri"/>
          <w:b/>
          <w:color w:val="003366"/>
          <w:sz w:val="20"/>
        </w:rPr>
        <w:t>overnance</w:t>
      </w:r>
      <w:r>
        <w:rPr>
          <w:rFonts w:ascii="Century Gothic" w:hAnsi="Century Gothic" w:cs="Calibri"/>
          <w:bCs/>
          <w:color w:val="003366"/>
          <w:sz w:val="20"/>
        </w:rPr>
        <w:t xml:space="preserve"> delle imprese familiari che possono agire da facilitatori nello sviluppo di tutti i </w:t>
      </w:r>
      <w:r w:rsidR="00EC303F">
        <w:rPr>
          <w:rFonts w:ascii="Century Gothic" w:hAnsi="Century Gothic" w:cs="Calibri"/>
          <w:bCs/>
          <w:color w:val="003366"/>
          <w:sz w:val="20"/>
        </w:rPr>
        <w:t>‘</w:t>
      </w:r>
      <w:r>
        <w:rPr>
          <w:rFonts w:ascii="Century Gothic" w:hAnsi="Century Gothic" w:cs="Calibri"/>
          <w:bCs/>
          <w:color w:val="003366"/>
          <w:sz w:val="20"/>
        </w:rPr>
        <w:t>capitali</w:t>
      </w:r>
      <w:r w:rsidR="00EC303F">
        <w:rPr>
          <w:rFonts w:ascii="Century Gothic" w:hAnsi="Century Gothic" w:cs="Calibri"/>
          <w:bCs/>
          <w:color w:val="003366"/>
          <w:sz w:val="20"/>
        </w:rPr>
        <w:t>’</w:t>
      </w:r>
      <w:r>
        <w:rPr>
          <w:rFonts w:ascii="Century Gothic" w:hAnsi="Century Gothic" w:cs="Calibri"/>
          <w:bCs/>
          <w:color w:val="003366"/>
          <w:sz w:val="20"/>
        </w:rPr>
        <w:t xml:space="preserve"> strategici, </w:t>
      </w:r>
      <w:r w:rsidR="00131776">
        <w:rPr>
          <w:rFonts w:ascii="Century Gothic" w:hAnsi="Century Gothic" w:cs="Calibri"/>
          <w:bCs/>
          <w:color w:val="003366"/>
          <w:sz w:val="20"/>
        </w:rPr>
        <w:t>U</w:t>
      </w:r>
      <w:r>
        <w:rPr>
          <w:rFonts w:ascii="Century Gothic" w:hAnsi="Century Gothic" w:cs="Calibri"/>
          <w:bCs/>
          <w:color w:val="003366"/>
          <w:sz w:val="20"/>
        </w:rPr>
        <w:t xml:space="preserve">mano ma non solo. </w:t>
      </w:r>
      <w:r w:rsidRPr="007E3626">
        <w:rPr>
          <w:rFonts w:ascii="Century Gothic" w:hAnsi="Century Gothic" w:cs="Calibri"/>
          <w:b/>
          <w:color w:val="003366"/>
          <w:sz w:val="20"/>
        </w:rPr>
        <w:t>L’apertura del capitale</w:t>
      </w:r>
      <w:r>
        <w:rPr>
          <w:rFonts w:ascii="Century Gothic" w:hAnsi="Century Gothic" w:cs="Calibri"/>
          <w:bCs/>
          <w:color w:val="003366"/>
          <w:sz w:val="20"/>
        </w:rPr>
        <w:t xml:space="preserve"> è uno di questi. Le grandi discontinuità che si sono aperte con la pandemia hanno </w:t>
      </w:r>
      <w:r w:rsidR="00573C37">
        <w:rPr>
          <w:rFonts w:ascii="Century Gothic" w:hAnsi="Century Gothic" w:cs="Calibri"/>
          <w:bCs/>
          <w:color w:val="003366"/>
          <w:sz w:val="20"/>
        </w:rPr>
        <w:t>aiutato</w:t>
      </w:r>
      <w:r>
        <w:rPr>
          <w:rFonts w:ascii="Century Gothic" w:hAnsi="Century Gothic" w:cs="Calibri"/>
          <w:bCs/>
          <w:color w:val="003366"/>
          <w:sz w:val="20"/>
        </w:rPr>
        <w:t xml:space="preserve"> a derubricare l’apertura del capitale da tabù culturale a opzione </w:t>
      </w:r>
      <w:r w:rsidR="00573C37">
        <w:rPr>
          <w:rFonts w:ascii="Century Gothic" w:hAnsi="Century Gothic" w:cs="Calibri"/>
          <w:bCs/>
          <w:color w:val="003366"/>
          <w:sz w:val="20"/>
        </w:rPr>
        <w:t>operativa</w:t>
      </w:r>
      <w:r>
        <w:rPr>
          <w:rFonts w:ascii="Century Gothic" w:hAnsi="Century Gothic" w:cs="Calibri"/>
          <w:bCs/>
          <w:color w:val="003366"/>
          <w:sz w:val="20"/>
        </w:rPr>
        <w:t xml:space="preserve">: </w:t>
      </w:r>
      <w:r w:rsidRPr="008B1A7A">
        <w:rPr>
          <w:rFonts w:ascii="Century Gothic" w:hAnsi="Century Gothic" w:cs="Calibri"/>
          <w:b/>
          <w:color w:val="003366"/>
          <w:sz w:val="20"/>
        </w:rPr>
        <w:t>il 12,</w:t>
      </w:r>
      <w:r w:rsidR="00EC303F" w:rsidRPr="008B1A7A">
        <w:rPr>
          <w:rFonts w:ascii="Century Gothic" w:hAnsi="Century Gothic" w:cs="Calibri"/>
          <w:b/>
          <w:color w:val="003366"/>
          <w:sz w:val="20"/>
        </w:rPr>
        <w:t>3</w:t>
      </w:r>
      <w:r w:rsidRPr="008B1A7A">
        <w:rPr>
          <w:rFonts w:ascii="Century Gothic" w:hAnsi="Century Gothic" w:cs="Calibri"/>
          <w:b/>
          <w:color w:val="003366"/>
          <w:sz w:val="20"/>
        </w:rPr>
        <w:t xml:space="preserve">% delle aziende </w:t>
      </w:r>
      <w:r w:rsidR="00573C37" w:rsidRPr="008B1A7A">
        <w:rPr>
          <w:rFonts w:ascii="Century Gothic" w:hAnsi="Century Gothic" w:cs="Calibri"/>
          <w:b/>
          <w:color w:val="003366"/>
          <w:sz w:val="20"/>
        </w:rPr>
        <w:t>ha visto crescere</w:t>
      </w:r>
      <w:r w:rsidR="00573C37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573C37" w:rsidRPr="008B1A7A">
        <w:rPr>
          <w:rFonts w:ascii="Century Gothic" w:hAnsi="Century Gothic" w:cs="Calibri"/>
          <w:b/>
          <w:color w:val="003366"/>
          <w:sz w:val="20"/>
        </w:rPr>
        <w:t>le</w:t>
      </w:r>
      <w:r w:rsidRPr="008B1A7A">
        <w:rPr>
          <w:rFonts w:ascii="Century Gothic" w:hAnsi="Century Gothic" w:cs="Calibri"/>
          <w:b/>
          <w:color w:val="003366"/>
          <w:sz w:val="20"/>
        </w:rPr>
        <w:t xml:space="preserve"> proposte di ingresso</w:t>
      </w:r>
      <w:r>
        <w:rPr>
          <w:rFonts w:ascii="Century Gothic" w:hAnsi="Century Gothic" w:cs="Calibri"/>
          <w:bCs/>
          <w:color w:val="003366"/>
          <w:sz w:val="20"/>
        </w:rPr>
        <w:t xml:space="preserve"> nel proprio capitale da parte </w:t>
      </w:r>
      <w:r w:rsidRPr="008B1A7A">
        <w:rPr>
          <w:rFonts w:ascii="Century Gothic" w:hAnsi="Century Gothic" w:cs="Calibri"/>
          <w:b/>
          <w:color w:val="003366"/>
          <w:sz w:val="20"/>
        </w:rPr>
        <w:t>di fondi di private equity</w:t>
      </w:r>
      <w:r>
        <w:rPr>
          <w:rFonts w:ascii="Century Gothic" w:hAnsi="Century Gothic" w:cs="Calibri"/>
          <w:bCs/>
          <w:color w:val="003366"/>
          <w:sz w:val="20"/>
        </w:rPr>
        <w:t xml:space="preserve"> e il 13,9% </w:t>
      </w:r>
      <w:r w:rsidR="00573C37">
        <w:rPr>
          <w:rFonts w:ascii="Century Gothic" w:hAnsi="Century Gothic" w:cs="Calibri"/>
          <w:bCs/>
          <w:color w:val="003366"/>
          <w:sz w:val="20"/>
        </w:rPr>
        <w:t>le</w:t>
      </w:r>
      <w:r w:rsidR="00EA3622">
        <w:rPr>
          <w:rFonts w:ascii="Century Gothic" w:hAnsi="Century Gothic" w:cs="Calibri"/>
          <w:bCs/>
          <w:color w:val="003366"/>
          <w:sz w:val="20"/>
        </w:rPr>
        <w:t xml:space="preserve"> occasioni di operazioni di M&amp;A. </w:t>
      </w:r>
      <w:r w:rsidR="00EA3622" w:rsidRPr="00DC6579">
        <w:rPr>
          <w:rFonts w:ascii="Century Gothic" w:hAnsi="Century Gothic" w:cs="Calibri"/>
          <w:b/>
          <w:color w:val="003366"/>
          <w:sz w:val="20"/>
        </w:rPr>
        <w:t>La quotazione resta ancora poco praticata dalle medie imprese</w:t>
      </w:r>
      <w:r w:rsidR="00DC6579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DC6579" w:rsidRPr="00DC6579">
        <w:rPr>
          <w:rFonts w:ascii="Century Gothic" w:hAnsi="Century Gothic" w:cs="Calibri"/>
          <w:bCs/>
          <w:color w:val="003366"/>
          <w:sz w:val="20"/>
        </w:rPr>
        <w:t xml:space="preserve">prevalentemente per una </w:t>
      </w:r>
      <w:r w:rsidR="00EA4EAC">
        <w:rPr>
          <w:rFonts w:ascii="Century Gothic" w:hAnsi="Century Gothic" w:cs="Calibri"/>
          <w:bCs/>
          <w:color w:val="003366"/>
          <w:sz w:val="20"/>
        </w:rPr>
        <w:t>r</w:t>
      </w:r>
      <w:r w:rsidR="00573C37">
        <w:rPr>
          <w:rFonts w:ascii="Century Gothic" w:hAnsi="Century Gothic" w:cs="Calibri"/>
          <w:bCs/>
          <w:color w:val="003366"/>
          <w:sz w:val="20"/>
        </w:rPr>
        <w:t>itrosia</w:t>
      </w:r>
      <w:r w:rsidR="00DC6579" w:rsidRPr="00DC6579">
        <w:rPr>
          <w:rFonts w:ascii="Century Gothic" w:hAnsi="Century Gothic" w:cs="Calibri"/>
          <w:bCs/>
          <w:color w:val="003366"/>
          <w:sz w:val="20"/>
        </w:rPr>
        <w:t xml:space="preserve"> culturale</w:t>
      </w:r>
      <w:r w:rsidR="00EA3622">
        <w:rPr>
          <w:rFonts w:ascii="Century Gothic" w:hAnsi="Century Gothic" w:cs="Calibri"/>
          <w:bCs/>
          <w:color w:val="003366"/>
          <w:sz w:val="20"/>
        </w:rPr>
        <w:t xml:space="preserve">: oltre il 75% </w:t>
      </w:r>
      <w:r w:rsidR="00573C37">
        <w:rPr>
          <w:rFonts w:ascii="Century Gothic" w:hAnsi="Century Gothic" w:cs="Calibri"/>
          <w:bCs/>
          <w:color w:val="003366"/>
          <w:sz w:val="20"/>
        </w:rPr>
        <w:t xml:space="preserve">la </w:t>
      </w:r>
      <w:r w:rsidR="00EA3622">
        <w:rPr>
          <w:rFonts w:ascii="Century Gothic" w:hAnsi="Century Gothic" w:cs="Calibri"/>
          <w:bCs/>
          <w:color w:val="003366"/>
          <w:sz w:val="20"/>
        </w:rPr>
        <w:t xml:space="preserve">esclude o non </w:t>
      </w:r>
      <w:r w:rsidR="00573C37">
        <w:rPr>
          <w:rFonts w:ascii="Century Gothic" w:hAnsi="Century Gothic" w:cs="Calibri"/>
          <w:bCs/>
          <w:color w:val="003366"/>
          <w:sz w:val="20"/>
        </w:rPr>
        <w:t>l’</w:t>
      </w:r>
      <w:r w:rsidR="00EA3622">
        <w:rPr>
          <w:rFonts w:ascii="Century Gothic" w:hAnsi="Century Gothic" w:cs="Calibri"/>
          <w:bCs/>
          <w:color w:val="003366"/>
          <w:sz w:val="20"/>
        </w:rPr>
        <w:t>ha in agenda.</w:t>
      </w:r>
      <w:r w:rsidR="00DC6579">
        <w:rPr>
          <w:rFonts w:ascii="Century Gothic" w:hAnsi="Century Gothic" w:cs="Calibri"/>
          <w:bCs/>
          <w:color w:val="003366"/>
          <w:sz w:val="20"/>
        </w:rPr>
        <w:t xml:space="preserve"> </w:t>
      </w:r>
    </w:p>
    <w:p w14:paraId="7F9FAA15" w14:textId="77777777" w:rsidR="007E3626" w:rsidRPr="008C3099" w:rsidRDefault="007E362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  <w:highlight w:val="magenta"/>
        </w:rPr>
      </w:pPr>
    </w:p>
    <w:p w14:paraId="61A6F7F5" w14:textId="3B01D4E4" w:rsidR="007E3626" w:rsidRPr="00A24AD6" w:rsidRDefault="00A24AD6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 w:rsidRPr="00A24AD6">
        <w:rPr>
          <w:rFonts w:ascii="Century Gothic" w:eastAsia="Calibri" w:hAnsi="Century Gothic"/>
          <w:b/>
          <w:color w:val="003366"/>
          <w:szCs w:val="24"/>
        </w:rPr>
        <w:t>Supply chain</w:t>
      </w:r>
      <w:r>
        <w:rPr>
          <w:rFonts w:ascii="Century Gothic" w:eastAsia="Calibri" w:hAnsi="Century Gothic"/>
          <w:b/>
          <w:color w:val="003366"/>
          <w:szCs w:val="24"/>
        </w:rPr>
        <w:t xml:space="preserve">: </w:t>
      </w:r>
      <w:r w:rsidRPr="00A24AD6">
        <w:rPr>
          <w:rFonts w:ascii="Century Gothic" w:eastAsia="Calibri" w:hAnsi="Century Gothic"/>
          <w:b/>
          <w:color w:val="003366"/>
          <w:szCs w:val="24"/>
        </w:rPr>
        <w:t>diversificazione</w:t>
      </w:r>
      <w:r>
        <w:rPr>
          <w:rFonts w:ascii="Century Gothic" w:eastAsia="Calibri" w:hAnsi="Century Gothic"/>
          <w:b/>
          <w:color w:val="003366"/>
          <w:szCs w:val="24"/>
        </w:rPr>
        <w:t xml:space="preserve">, </w:t>
      </w:r>
      <w:r w:rsidRPr="00A24AD6">
        <w:rPr>
          <w:rFonts w:ascii="Century Gothic" w:eastAsia="Calibri" w:hAnsi="Century Gothic"/>
          <w:b/>
          <w:color w:val="003366"/>
          <w:szCs w:val="24"/>
        </w:rPr>
        <w:t>prossimità</w:t>
      </w:r>
      <w:r>
        <w:rPr>
          <w:rFonts w:ascii="Century Gothic" w:eastAsia="Calibri" w:hAnsi="Century Gothic"/>
          <w:b/>
          <w:color w:val="003366"/>
          <w:szCs w:val="24"/>
        </w:rPr>
        <w:t xml:space="preserve"> e re-</w:t>
      </w:r>
      <w:proofErr w:type="spellStart"/>
      <w:r>
        <w:rPr>
          <w:rFonts w:ascii="Century Gothic" w:eastAsia="Calibri" w:hAnsi="Century Gothic"/>
          <w:b/>
          <w:color w:val="003366"/>
          <w:szCs w:val="24"/>
        </w:rPr>
        <w:t>shoring</w:t>
      </w:r>
      <w:proofErr w:type="spellEnd"/>
      <w:r>
        <w:rPr>
          <w:rFonts w:ascii="Century Gothic" w:eastAsia="Calibri" w:hAnsi="Century Gothic"/>
          <w:b/>
          <w:color w:val="003366"/>
          <w:szCs w:val="24"/>
        </w:rPr>
        <w:t xml:space="preserve"> differibile</w:t>
      </w:r>
    </w:p>
    <w:p w14:paraId="158ABAE5" w14:textId="53EB4195" w:rsidR="007E3626" w:rsidRDefault="007E362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  <w:highlight w:val="magenta"/>
        </w:rPr>
      </w:pPr>
    </w:p>
    <w:p w14:paraId="033FD0AB" w14:textId="60A3B0DB" w:rsidR="00A24AD6" w:rsidRDefault="00A24AD6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996F6A">
        <w:rPr>
          <w:rFonts w:ascii="Century Gothic" w:hAnsi="Century Gothic" w:cs="Calibri"/>
          <w:b/>
          <w:color w:val="003366"/>
          <w:sz w:val="20"/>
        </w:rPr>
        <w:t>Il modello produttivo italiano è fortemente radicato in Italia</w:t>
      </w:r>
      <w:r>
        <w:rPr>
          <w:rFonts w:ascii="Century Gothic" w:hAnsi="Century Gothic" w:cs="Calibri"/>
          <w:bCs/>
          <w:color w:val="003366"/>
          <w:sz w:val="20"/>
        </w:rPr>
        <w:t xml:space="preserve">: quasi il 90% delle aziende produce esclusivamente in Italia. D’altra parte, le medie imprese esportano molto (il 43% del loro fatturato) e praticano una delocalizzazione molto selettiva. </w:t>
      </w:r>
      <w:r w:rsidRPr="00996F6A">
        <w:rPr>
          <w:rFonts w:ascii="Century Gothic" w:hAnsi="Century Gothic" w:cs="Calibri"/>
          <w:b/>
          <w:color w:val="003366"/>
          <w:sz w:val="20"/>
        </w:rPr>
        <w:t>Il tema dell’off/re-</w:t>
      </w:r>
      <w:proofErr w:type="spellStart"/>
      <w:r w:rsidRPr="00996F6A">
        <w:rPr>
          <w:rFonts w:ascii="Century Gothic" w:hAnsi="Century Gothic" w:cs="Calibri"/>
          <w:b/>
          <w:color w:val="003366"/>
          <w:sz w:val="20"/>
        </w:rPr>
        <w:t>shoring</w:t>
      </w:r>
      <w:proofErr w:type="spellEnd"/>
      <w:r w:rsidRPr="00996F6A">
        <w:rPr>
          <w:rFonts w:ascii="Century Gothic" w:hAnsi="Century Gothic" w:cs="Calibri"/>
          <w:b/>
          <w:color w:val="003366"/>
          <w:sz w:val="20"/>
        </w:rPr>
        <w:t xml:space="preserve"> tocca dunque queste imprese solo marginalmente</w:t>
      </w:r>
      <w:r>
        <w:rPr>
          <w:rFonts w:ascii="Century Gothic" w:hAnsi="Century Gothic" w:cs="Calibri"/>
          <w:bCs/>
          <w:color w:val="003366"/>
          <w:sz w:val="20"/>
        </w:rPr>
        <w:t xml:space="preserve">, ma non </w:t>
      </w:r>
      <w:r w:rsidR="003168DE">
        <w:rPr>
          <w:rFonts w:ascii="Century Gothic" w:hAnsi="Century Gothic" w:cs="Calibri"/>
          <w:bCs/>
          <w:color w:val="003366"/>
          <w:sz w:val="20"/>
        </w:rPr>
        <w:t xml:space="preserve">è </w:t>
      </w:r>
      <w:r>
        <w:rPr>
          <w:rFonts w:ascii="Century Gothic" w:hAnsi="Century Gothic" w:cs="Calibri"/>
          <w:bCs/>
          <w:color w:val="003366"/>
          <w:sz w:val="20"/>
        </w:rPr>
        <w:t xml:space="preserve">così 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per quanto riguarda </w:t>
      </w:r>
      <w:r>
        <w:rPr>
          <w:rFonts w:ascii="Century Gothic" w:hAnsi="Century Gothic" w:cs="Calibri"/>
          <w:bCs/>
          <w:color w:val="003366"/>
          <w:sz w:val="20"/>
        </w:rPr>
        <w:t xml:space="preserve">la </w:t>
      </w:r>
      <w:r w:rsidRPr="00996F6A">
        <w:rPr>
          <w:rFonts w:ascii="Century Gothic" w:hAnsi="Century Gothic" w:cs="Calibri"/>
          <w:b/>
          <w:color w:val="003366"/>
          <w:sz w:val="20"/>
        </w:rPr>
        <w:t>riorganizzazione delle catene globali del valore</w:t>
      </w:r>
      <w:r w:rsidR="00AC750B">
        <w:rPr>
          <w:rFonts w:ascii="Century Gothic" w:hAnsi="Century Gothic" w:cs="Calibri"/>
          <w:bCs/>
          <w:color w:val="003366"/>
          <w:sz w:val="20"/>
        </w:rPr>
        <w:t>, fronte su cui s</w:t>
      </w:r>
      <w:r>
        <w:rPr>
          <w:rFonts w:ascii="Century Gothic" w:hAnsi="Century Gothic" w:cs="Calibri"/>
          <w:bCs/>
          <w:color w:val="003366"/>
          <w:sz w:val="20"/>
        </w:rPr>
        <w:t xml:space="preserve">i </w:t>
      </w:r>
      <w:r w:rsidR="003E4383">
        <w:rPr>
          <w:rFonts w:ascii="Century Gothic" w:hAnsi="Century Gothic" w:cs="Calibri"/>
          <w:bCs/>
          <w:color w:val="003366"/>
          <w:sz w:val="20"/>
        </w:rPr>
        <w:t>segnala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E4383">
        <w:rPr>
          <w:rFonts w:ascii="Century Gothic" w:hAnsi="Century Gothic" w:cs="Calibri"/>
          <w:bCs/>
          <w:color w:val="003366"/>
          <w:sz w:val="20"/>
        </w:rPr>
        <w:t xml:space="preserve">la </w:t>
      </w:r>
      <w:r>
        <w:rPr>
          <w:rFonts w:ascii="Century Gothic" w:hAnsi="Century Gothic" w:cs="Calibri"/>
          <w:bCs/>
          <w:color w:val="003366"/>
          <w:sz w:val="20"/>
        </w:rPr>
        <w:lastRenderedPageBreak/>
        <w:t xml:space="preserve">tendenza </w:t>
      </w:r>
      <w:r w:rsidR="003E4383">
        <w:rPr>
          <w:rFonts w:ascii="Century Gothic" w:hAnsi="Century Gothic" w:cs="Calibri"/>
          <w:bCs/>
          <w:color w:val="003366"/>
          <w:sz w:val="20"/>
        </w:rPr>
        <w:t>al</w:t>
      </w:r>
      <w:r>
        <w:rPr>
          <w:rFonts w:ascii="Century Gothic" w:hAnsi="Century Gothic" w:cs="Calibri"/>
          <w:bCs/>
          <w:color w:val="003366"/>
          <w:sz w:val="20"/>
        </w:rPr>
        <w:t xml:space="preserve"> riavvicinamento delle forniture</w:t>
      </w:r>
      <w:r w:rsidR="00AC750B">
        <w:rPr>
          <w:rFonts w:ascii="Century Gothic" w:hAnsi="Century Gothic" w:cs="Calibri"/>
          <w:bCs/>
          <w:color w:val="003366"/>
          <w:sz w:val="20"/>
        </w:rPr>
        <w:t>, che è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996F6A">
        <w:rPr>
          <w:rFonts w:ascii="Century Gothic" w:hAnsi="Century Gothic" w:cs="Calibri"/>
          <w:bCs/>
          <w:color w:val="003366"/>
          <w:sz w:val="20"/>
        </w:rPr>
        <w:t>dichiarat</w:t>
      </w:r>
      <w:r w:rsidR="00D55B43">
        <w:rPr>
          <w:rFonts w:ascii="Century Gothic" w:hAnsi="Century Gothic" w:cs="Calibri"/>
          <w:bCs/>
          <w:color w:val="003366"/>
          <w:sz w:val="20"/>
        </w:rPr>
        <w:t>o</w:t>
      </w:r>
      <w:r w:rsidR="00996F6A">
        <w:rPr>
          <w:rFonts w:ascii="Century Gothic" w:hAnsi="Century Gothic" w:cs="Calibri"/>
          <w:bCs/>
          <w:color w:val="003366"/>
          <w:sz w:val="20"/>
        </w:rPr>
        <w:t xml:space="preserve"> dal 28,6% delle medie imprese. L</w:t>
      </w:r>
      <w:r w:rsidR="00C71F1E">
        <w:rPr>
          <w:rFonts w:ascii="Century Gothic" w:hAnsi="Century Gothic" w:cs="Calibri"/>
          <w:bCs/>
          <w:color w:val="003366"/>
          <w:sz w:val="20"/>
        </w:rPr>
        <w:t>a</w:t>
      </w:r>
      <w:r w:rsidR="00996F6A">
        <w:rPr>
          <w:rFonts w:ascii="Century Gothic" w:hAnsi="Century Gothic" w:cs="Calibri"/>
          <w:bCs/>
          <w:color w:val="003366"/>
          <w:sz w:val="20"/>
        </w:rPr>
        <w:t xml:space="preserve"> revisione della supply chain ha prodotto effetti differenti: difficoltà organizzative per il 14,8% delle aziende </w:t>
      </w:r>
      <w:r w:rsidR="003168DE">
        <w:rPr>
          <w:rFonts w:ascii="Century Gothic" w:hAnsi="Century Gothic" w:cs="Calibri"/>
          <w:bCs/>
          <w:color w:val="003366"/>
          <w:sz w:val="20"/>
        </w:rPr>
        <w:t>e</w:t>
      </w:r>
      <w:r w:rsidR="00996F6A">
        <w:rPr>
          <w:rFonts w:ascii="Century Gothic" w:hAnsi="Century Gothic" w:cs="Calibri"/>
          <w:bCs/>
          <w:color w:val="003366"/>
          <w:sz w:val="20"/>
        </w:rPr>
        <w:t xml:space="preserve"> miglioramento delle condizioni economic</w:t>
      </w:r>
      <w:r w:rsidR="000B2E16">
        <w:rPr>
          <w:rFonts w:ascii="Century Gothic" w:hAnsi="Century Gothic" w:cs="Calibri"/>
          <w:bCs/>
          <w:color w:val="003366"/>
          <w:sz w:val="20"/>
        </w:rPr>
        <w:t>o-</w:t>
      </w:r>
      <w:r w:rsidR="00996F6A">
        <w:rPr>
          <w:rFonts w:ascii="Century Gothic" w:hAnsi="Century Gothic" w:cs="Calibri"/>
          <w:bCs/>
          <w:color w:val="003366"/>
          <w:sz w:val="20"/>
        </w:rPr>
        <w:t>contrattuali e di coordinamento degli approvvigionamenti per il 9,9% delle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 aziende</w:t>
      </w:r>
      <w:r w:rsidR="00996F6A">
        <w:rPr>
          <w:rFonts w:ascii="Century Gothic" w:hAnsi="Century Gothic" w:cs="Calibri"/>
          <w:bCs/>
          <w:color w:val="003366"/>
          <w:sz w:val="20"/>
        </w:rPr>
        <w:t xml:space="preserve"> intervistate.</w:t>
      </w:r>
    </w:p>
    <w:p w14:paraId="35E5FB98" w14:textId="52F1C0EC" w:rsidR="00FD2B65" w:rsidRDefault="00FD2B65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</w:p>
    <w:p w14:paraId="7C7F04F1" w14:textId="696D7FD0" w:rsidR="000045DD" w:rsidRDefault="000045DD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 w:rsidRPr="00267F62">
        <w:rPr>
          <w:rFonts w:ascii="Century Gothic" w:eastAsia="Calibri" w:hAnsi="Century Gothic"/>
          <w:b/>
          <w:color w:val="003366"/>
          <w:szCs w:val="24"/>
        </w:rPr>
        <w:t>ESG</w:t>
      </w:r>
      <w:r w:rsidR="00267F62">
        <w:rPr>
          <w:rFonts w:ascii="Century Gothic" w:eastAsia="Calibri" w:hAnsi="Century Gothic"/>
          <w:b/>
          <w:color w:val="003366"/>
          <w:szCs w:val="24"/>
        </w:rPr>
        <w:t>: trend duraturo?</w:t>
      </w:r>
    </w:p>
    <w:p w14:paraId="28CD4EC4" w14:textId="4F4C3083" w:rsidR="00267F62" w:rsidRDefault="00267F62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38EDDE3E" w14:textId="50E4B644" w:rsidR="00C96BA1" w:rsidRDefault="00C96BA1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 w:rsidRPr="000B030E">
        <w:rPr>
          <w:rFonts w:ascii="Century Gothic" w:hAnsi="Century Gothic" w:cs="Calibri"/>
          <w:b/>
          <w:color w:val="003366"/>
          <w:sz w:val="20"/>
        </w:rPr>
        <w:t xml:space="preserve">Le tematiche ESG rappresentano una parte rilevante delle </w:t>
      </w:r>
      <w:r w:rsidR="00B67447">
        <w:rPr>
          <w:rFonts w:ascii="Century Gothic" w:hAnsi="Century Gothic" w:cs="Calibri"/>
          <w:b/>
          <w:color w:val="003366"/>
          <w:sz w:val="20"/>
        </w:rPr>
        <w:t>strategie</w:t>
      </w:r>
      <w:r w:rsidRPr="000B030E">
        <w:rPr>
          <w:rFonts w:ascii="Century Gothic" w:hAnsi="Century Gothic" w:cs="Calibri"/>
          <w:b/>
          <w:color w:val="003366"/>
          <w:sz w:val="20"/>
        </w:rPr>
        <w:t xml:space="preserve"> aziendali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E4383">
        <w:rPr>
          <w:rFonts w:ascii="Century Gothic" w:hAnsi="Century Gothic" w:cs="Calibri"/>
          <w:bCs/>
          <w:color w:val="003366"/>
          <w:sz w:val="20"/>
        </w:rPr>
        <w:t>grazie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E4383">
        <w:rPr>
          <w:rFonts w:ascii="Century Gothic" w:hAnsi="Century Gothic" w:cs="Calibri"/>
          <w:bCs/>
          <w:color w:val="003366"/>
          <w:sz w:val="20"/>
        </w:rPr>
        <w:t>all’</w:t>
      </w:r>
      <w:r>
        <w:rPr>
          <w:rFonts w:ascii="Century Gothic" w:hAnsi="Century Gothic" w:cs="Calibri"/>
          <w:bCs/>
          <w:color w:val="003366"/>
          <w:sz w:val="20"/>
        </w:rPr>
        <w:t>apprezzamento sempre maggiore da parte dei consumatori</w:t>
      </w:r>
      <w:r w:rsidR="00AC750B">
        <w:rPr>
          <w:rFonts w:ascii="Century Gothic" w:hAnsi="Century Gothic" w:cs="Calibri"/>
          <w:bCs/>
          <w:color w:val="003366"/>
          <w:sz w:val="20"/>
        </w:rPr>
        <w:t>,</w:t>
      </w:r>
      <w:r>
        <w:rPr>
          <w:rFonts w:ascii="Century Gothic" w:hAnsi="Century Gothic" w:cs="Calibri"/>
          <w:bCs/>
          <w:color w:val="003366"/>
          <w:sz w:val="20"/>
        </w:rPr>
        <w:t xml:space="preserve"> in quanto sinonimo di cura del prodotto e </w:t>
      </w:r>
      <w:r w:rsidR="00B67447">
        <w:rPr>
          <w:rFonts w:ascii="Century Gothic" w:hAnsi="Century Gothic" w:cs="Calibri"/>
          <w:bCs/>
          <w:color w:val="003366"/>
          <w:sz w:val="20"/>
        </w:rPr>
        <w:t>di integrità</w:t>
      </w:r>
      <w:r>
        <w:rPr>
          <w:rFonts w:ascii="Century Gothic" w:hAnsi="Century Gothic" w:cs="Calibri"/>
          <w:bCs/>
          <w:color w:val="003366"/>
          <w:sz w:val="20"/>
        </w:rPr>
        <w:t xml:space="preserve"> delle imprese. Il 65,3% delle medie imprese considera 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che si tratti di </w:t>
      </w:r>
      <w:r w:rsidRPr="000B030E">
        <w:rPr>
          <w:rFonts w:ascii="Century Gothic" w:hAnsi="Century Gothic" w:cs="Calibri"/>
          <w:b/>
          <w:color w:val="003366"/>
          <w:sz w:val="20"/>
        </w:rPr>
        <w:t xml:space="preserve">un trend destinato a perdurare e </w:t>
      </w:r>
      <w:r w:rsidR="00AC750B">
        <w:rPr>
          <w:rFonts w:ascii="Century Gothic" w:hAnsi="Century Gothic" w:cs="Calibri"/>
          <w:b/>
          <w:color w:val="003366"/>
          <w:sz w:val="20"/>
        </w:rPr>
        <w:t xml:space="preserve">una </w:t>
      </w:r>
      <w:r w:rsidRPr="000B030E">
        <w:rPr>
          <w:rFonts w:ascii="Century Gothic" w:hAnsi="Century Gothic" w:cs="Calibri"/>
          <w:b/>
          <w:color w:val="003366"/>
          <w:sz w:val="20"/>
        </w:rPr>
        <w:t>fonte di vantaggio competitivo</w:t>
      </w:r>
      <w:r>
        <w:rPr>
          <w:rFonts w:ascii="Century Gothic" w:hAnsi="Century Gothic" w:cs="Calibri"/>
          <w:bCs/>
          <w:color w:val="003366"/>
          <w:sz w:val="20"/>
        </w:rPr>
        <w:t xml:space="preserve">. Vi è comunque una quota </w:t>
      </w:r>
      <w:r w:rsidR="003E4383">
        <w:rPr>
          <w:rFonts w:ascii="Century Gothic" w:hAnsi="Century Gothic" w:cs="Calibri"/>
          <w:bCs/>
          <w:color w:val="003366"/>
          <w:sz w:val="20"/>
        </w:rPr>
        <w:t xml:space="preserve">di </w:t>
      </w:r>
      <w:r>
        <w:rPr>
          <w:rFonts w:ascii="Century Gothic" w:hAnsi="Century Gothic" w:cs="Calibri"/>
          <w:bCs/>
          <w:color w:val="003366"/>
          <w:sz w:val="20"/>
        </w:rPr>
        <w:t>scettic</w:t>
      </w:r>
      <w:r w:rsidR="003E4383">
        <w:rPr>
          <w:rFonts w:ascii="Century Gothic" w:hAnsi="Century Gothic" w:cs="Calibri"/>
          <w:bCs/>
          <w:color w:val="003366"/>
          <w:sz w:val="20"/>
        </w:rPr>
        <w:t>i</w:t>
      </w:r>
      <w:r>
        <w:rPr>
          <w:rFonts w:ascii="Century Gothic" w:hAnsi="Century Gothic" w:cs="Calibri"/>
          <w:bCs/>
          <w:color w:val="003366"/>
          <w:sz w:val="20"/>
        </w:rPr>
        <w:t xml:space="preserve"> che </w:t>
      </w:r>
      <w:r w:rsidR="003E4383">
        <w:rPr>
          <w:rFonts w:ascii="Century Gothic" w:hAnsi="Century Gothic" w:cs="Calibri"/>
          <w:bCs/>
          <w:color w:val="003366"/>
          <w:sz w:val="20"/>
        </w:rPr>
        <w:t>vi vede</w:t>
      </w:r>
      <w:r>
        <w:rPr>
          <w:rFonts w:ascii="Century Gothic" w:hAnsi="Century Gothic" w:cs="Calibri"/>
          <w:bCs/>
          <w:color w:val="003366"/>
          <w:sz w:val="20"/>
        </w:rPr>
        <w:t xml:space="preserve"> un costo non evitabile </w:t>
      </w:r>
      <w:r w:rsidR="003E4383">
        <w:rPr>
          <w:rFonts w:ascii="Century Gothic" w:hAnsi="Century Gothic" w:cs="Calibri"/>
          <w:bCs/>
          <w:color w:val="003366"/>
          <w:sz w:val="20"/>
        </w:rPr>
        <w:t xml:space="preserve">ma </w:t>
      </w:r>
      <w:r>
        <w:rPr>
          <w:rFonts w:ascii="Century Gothic" w:hAnsi="Century Gothic" w:cs="Calibri"/>
          <w:bCs/>
          <w:color w:val="003366"/>
          <w:sz w:val="20"/>
        </w:rPr>
        <w:t>privo di ricadute positive (12,2%) o una moda temporanea,</w:t>
      </w:r>
      <w:r w:rsidR="003E4383">
        <w:rPr>
          <w:rFonts w:ascii="Century Gothic" w:hAnsi="Century Gothic" w:cs="Calibri"/>
          <w:bCs/>
          <w:color w:val="003366"/>
          <w:sz w:val="20"/>
        </w:rPr>
        <w:t xml:space="preserve"> sebbene</w:t>
      </w:r>
      <w:r>
        <w:rPr>
          <w:rFonts w:ascii="Century Gothic" w:hAnsi="Century Gothic" w:cs="Calibri"/>
          <w:bCs/>
          <w:color w:val="003366"/>
          <w:sz w:val="20"/>
        </w:rPr>
        <w:t xml:space="preserve"> non trascurabile (8,2%). </w:t>
      </w:r>
      <w:r w:rsidR="00854B0E">
        <w:rPr>
          <w:rFonts w:ascii="Century Gothic" w:hAnsi="Century Gothic" w:cs="Calibri"/>
          <w:bCs/>
          <w:color w:val="003366"/>
          <w:sz w:val="20"/>
        </w:rPr>
        <w:t>Tuttavia, numeri alla mano,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Pr="000B030E">
        <w:rPr>
          <w:rFonts w:ascii="Century Gothic" w:hAnsi="Century Gothic" w:cs="Calibri"/>
          <w:b/>
          <w:color w:val="003366"/>
          <w:sz w:val="20"/>
        </w:rPr>
        <w:t xml:space="preserve">chi </w:t>
      </w:r>
      <w:r w:rsidR="003E21EE">
        <w:rPr>
          <w:rFonts w:ascii="Century Gothic" w:hAnsi="Century Gothic" w:cs="Calibri"/>
          <w:b/>
          <w:color w:val="003366"/>
          <w:sz w:val="20"/>
        </w:rPr>
        <w:t xml:space="preserve">integra criteri </w:t>
      </w:r>
      <w:r w:rsidR="00AC750B">
        <w:rPr>
          <w:rFonts w:ascii="Century Gothic" w:hAnsi="Century Gothic" w:cs="Calibri"/>
          <w:b/>
          <w:color w:val="003366"/>
          <w:sz w:val="20"/>
        </w:rPr>
        <w:t>ESG</w:t>
      </w:r>
      <w:r w:rsidR="003E21EE">
        <w:rPr>
          <w:rFonts w:ascii="Century Gothic" w:hAnsi="Century Gothic" w:cs="Calibri"/>
          <w:b/>
          <w:color w:val="003366"/>
          <w:sz w:val="20"/>
        </w:rPr>
        <w:t xml:space="preserve"> nelle pratiche aziendali</w:t>
      </w:r>
      <w:r w:rsidR="004E11F0">
        <w:rPr>
          <w:rFonts w:ascii="Century Gothic" w:hAnsi="Century Gothic" w:cs="Calibri"/>
          <w:b/>
          <w:color w:val="003366"/>
          <w:sz w:val="20"/>
        </w:rPr>
        <w:t xml:space="preserve"> </w:t>
      </w:r>
      <w:r w:rsidR="00854B0E">
        <w:rPr>
          <w:rFonts w:ascii="Century Gothic" w:hAnsi="Century Gothic" w:cs="Calibri"/>
          <w:b/>
          <w:color w:val="003366"/>
          <w:sz w:val="20"/>
        </w:rPr>
        <w:t>realizza</w:t>
      </w:r>
      <w:r w:rsidRPr="000B030E">
        <w:rPr>
          <w:rFonts w:ascii="Century Gothic" w:hAnsi="Century Gothic" w:cs="Calibri"/>
          <w:b/>
          <w:color w:val="003366"/>
          <w:sz w:val="20"/>
        </w:rPr>
        <w:t xml:space="preserve"> performance migliori</w:t>
      </w:r>
      <w:r>
        <w:rPr>
          <w:rFonts w:ascii="Century Gothic" w:hAnsi="Century Gothic" w:cs="Calibri"/>
          <w:bCs/>
          <w:color w:val="003366"/>
          <w:sz w:val="20"/>
        </w:rPr>
        <w:t xml:space="preserve"> rispetto </w:t>
      </w:r>
      <w:r w:rsidR="00854B0E">
        <w:rPr>
          <w:rFonts w:ascii="Century Gothic" w:hAnsi="Century Gothic" w:cs="Calibri"/>
          <w:bCs/>
          <w:color w:val="003366"/>
          <w:sz w:val="20"/>
        </w:rPr>
        <w:t>a chi non lo fa</w:t>
      </w:r>
      <w:r>
        <w:rPr>
          <w:rFonts w:ascii="Century Gothic" w:hAnsi="Century Gothic" w:cs="Calibri"/>
          <w:bCs/>
          <w:color w:val="003366"/>
          <w:sz w:val="20"/>
        </w:rPr>
        <w:t xml:space="preserve">: gli scarti più significativi riguardano </w:t>
      </w:r>
      <w:r w:rsidR="00B10FBC">
        <w:rPr>
          <w:rFonts w:ascii="Century Gothic" w:hAnsi="Century Gothic" w:cs="Calibri"/>
          <w:bCs/>
          <w:color w:val="003366"/>
          <w:sz w:val="20"/>
        </w:rPr>
        <w:t xml:space="preserve">la </w:t>
      </w:r>
      <w:r>
        <w:rPr>
          <w:rFonts w:ascii="Century Gothic" w:hAnsi="Century Gothic" w:cs="Calibri"/>
          <w:bCs/>
          <w:color w:val="003366"/>
          <w:sz w:val="20"/>
        </w:rPr>
        <w:t>redditività (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EBIT </w:t>
      </w:r>
      <w:proofErr w:type="spellStart"/>
      <w:r w:rsidR="004B0FB9">
        <w:rPr>
          <w:rFonts w:ascii="Century Gothic" w:hAnsi="Century Gothic" w:cs="Calibri"/>
          <w:bCs/>
          <w:color w:val="003366"/>
          <w:sz w:val="20"/>
        </w:rPr>
        <w:t>m</w:t>
      </w:r>
      <w:r>
        <w:rPr>
          <w:rFonts w:ascii="Century Gothic" w:hAnsi="Century Gothic" w:cs="Calibri"/>
          <w:bCs/>
          <w:color w:val="003366"/>
          <w:sz w:val="20"/>
        </w:rPr>
        <w:t>argin</w:t>
      </w:r>
      <w:proofErr w:type="spellEnd"/>
      <w:r>
        <w:rPr>
          <w:rFonts w:ascii="Century Gothic" w:hAnsi="Century Gothic" w:cs="Calibri"/>
          <w:bCs/>
          <w:color w:val="003366"/>
          <w:sz w:val="20"/>
        </w:rPr>
        <w:t xml:space="preserve"> +61%, ROI +51,9% e ROE +51,6%)</w:t>
      </w:r>
      <w:r w:rsidR="002D5C38">
        <w:rPr>
          <w:rFonts w:ascii="Century Gothic" w:hAnsi="Century Gothic" w:cs="Calibri"/>
          <w:bCs/>
          <w:color w:val="003366"/>
          <w:sz w:val="20"/>
        </w:rPr>
        <w:t xml:space="preserve"> e </w:t>
      </w:r>
      <w:r w:rsidR="00B10FBC">
        <w:rPr>
          <w:rFonts w:ascii="Century Gothic" w:hAnsi="Century Gothic" w:cs="Calibri"/>
          <w:bCs/>
          <w:color w:val="003366"/>
          <w:sz w:val="20"/>
        </w:rPr>
        <w:t xml:space="preserve">le </w:t>
      </w:r>
      <w:r w:rsidR="002D5C38">
        <w:rPr>
          <w:rFonts w:ascii="Century Gothic" w:hAnsi="Century Gothic" w:cs="Calibri"/>
          <w:bCs/>
          <w:color w:val="003366"/>
          <w:sz w:val="20"/>
        </w:rPr>
        <w:t>vendite (+14,5</w:t>
      </w:r>
      <w:r w:rsidR="00B10FBC">
        <w:rPr>
          <w:rFonts w:ascii="Century Gothic" w:hAnsi="Century Gothic" w:cs="Calibri"/>
          <w:bCs/>
          <w:color w:val="003366"/>
          <w:sz w:val="20"/>
        </w:rPr>
        <w:t>%</w:t>
      </w:r>
      <w:r w:rsidR="002D5C38">
        <w:rPr>
          <w:rFonts w:ascii="Century Gothic" w:hAnsi="Century Gothic" w:cs="Calibri"/>
          <w:bCs/>
          <w:color w:val="003366"/>
          <w:sz w:val="20"/>
        </w:rPr>
        <w:t xml:space="preserve"> il fatturato totale, +9,3% quello oltreconfine). I benefici ESG riguardano anche l’indebitamento che risulta inferiore del 30,5%.</w:t>
      </w:r>
    </w:p>
    <w:p w14:paraId="140D3467" w14:textId="77777777" w:rsidR="00EF2D45" w:rsidRPr="00925D96" w:rsidRDefault="00EF2D45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211B0A49" w14:textId="385B0ACB" w:rsidR="00EF2D45" w:rsidRDefault="004119D9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  <w:r>
        <w:rPr>
          <w:rFonts w:ascii="Century Gothic" w:eastAsia="Calibri" w:hAnsi="Century Gothic"/>
          <w:b/>
          <w:color w:val="003366"/>
          <w:szCs w:val="24"/>
        </w:rPr>
        <w:t>PNRR:</w:t>
      </w:r>
      <w:r w:rsidR="00A33916" w:rsidRPr="00E61010">
        <w:rPr>
          <w:rFonts w:ascii="Century Gothic" w:eastAsia="Calibri" w:hAnsi="Century Gothic"/>
          <w:b/>
          <w:color w:val="003366"/>
          <w:szCs w:val="24"/>
        </w:rPr>
        <w:t xml:space="preserve"> un'impresa su due si arena di fronte alla </w:t>
      </w:r>
      <w:r w:rsidR="00EF2D45" w:rsidRPr="00E61010">
        <w:rPr>
          <w:rFonts w:ascii="Century Gothic" w:eastAsia="Calibri" w:hAnsi="Century Gothic"/>
          <w:b/>
          <w:color w:val="003366"/>
          <w:szCs w:val="24"/>
        </w:rPr>
        <w:t xml:space="preserve">burocrazia </w:t>
      </w:r>
    </w:p>
    <w:p w14:paraId="7E565134" w14:textId="77777777" w:rsidR="00E61010" w:rsidRPr="00E61010" w:rsidRDefault="00E61010" w:rsidP="008C3099">
      <w:pPr>
        <w:spacing w:line="276" w:lineRule="auto"/>
        <w:rPr>
          <w:rFonts w:ascii="Century Gothic" w:eastAsia="Calibri" w:hAnsi="Century Gothic"/>
          <w:b/>
          <w:color w:val="003366"/>
          <w:szCs w:val="24"/>
        </w:rPr>
      </w:pPr>
    </w:p>
    <w:p w14:paraId="06E1F49B" w14:textId="1A719026" w:rsidR="00E74BC0" w:rsidRDefault="0008124F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>
        <w:rPr>
          <w:rFonts w:ascii="Century Gothic" w:hAnsi="Century Gothic" w:cs="Calibri"/>
          <w:bCs/>
          <w:color w:val="003366"/>
          <w:sz w:val="20"/>
        </w:rPr>
        <w:t xml:space="preserve">Per molte imprese il </w:t>
      </w:r>
      <w:r w:rsidR="004119D9" w:rsidRPr="00925D96">
        <w:rPr>
          <w:rFonts w:ascii="Century Gothic" w:hAnsi="Century Gothic" w:cs="Calibri"/>
          <w:b/>
          <w:color w:val="003366"/>
          <w:sz w:val="20"/>
        </w:rPr>
        <w:t xml:space="preserve">PNRR 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è una leva strategica </w:t>
      </w:r>
      <w:r w:rsidR="00852133">
        <w:rPr>
          <w:rFonts w:ascii="Century Gothic" w:hAnsi="Century Gothic" w:cs="Calibri"/>
          <w:b/>
          <w:color w:val="003366"/>
          <w:sz w:val="20"/>
        </w:rPr>
        <w:t xml:space="preserve">per </w:t>
      </w:r>
      <w:r w:rsidR="00854B0E">
        <w:rPr>
          <w:rFonts w:ascii="Century Gothic" w:hAnsi="Century Gothic" w:cs="Calibri"/>
          <w:b/>
          <w:color w:val="003366"/>
          <w:sz w:val="20"/>
        </w:rPr>
        <w:t>sostenere</w:t>
      </w:r>
      <w:r w:rsidRPr="00925D96">
        <w:rPr>
          <w:rFonts w:ascii="Century Gothic" w:hAnsi="Century Gothic" w:cs="Calibri"/>
          <w:b/>
          <w:color w:val="003366"/>
          <w:sz w:val="20"/>
        </w:rPr>
        <w:t xml:space="preserve"> i propri investiment</w:t>
      </w:r>
      <w:r w:rsidR="00852133">
        <w:rPr>
          <w:rFonts w:ascii="Century Gothic" w:hAnsi="Century Gothic" w:cs="Calibri"/>
          <w:b/>
          <w:color w:val="003366"/>
          <w:sz w:val="20"/>
        </w:rPr>
        <w:t>i</w:t>
      </w:r>
      <w:r>
        <w:rPr>
          <w:rFonts w:ascii="Century Gothic" w:hAnsi="Century Gothic" w:cs="Calibri"/>
          <w:bCs/>
          <w:color w:val="003366"/>
          <w:sz w:val="20"/>
        </w:rPr>
        <w:t xml:space="preserve">. </w:t>
      </w:r>
      <w:r w:rsidR="00EF2D45">
        <w:rPr>
          <w:rFonts w:ascii="Century Gothic" w:hAnsi="Century Gothic" w:cs="Calibri"/>
          <w:bCs/>
          <w:color w:val="003366"/>
          <w:sz w:val="20"/>
        </w:rPr>
        <w:t>Il 21% delle medie imprese si</w:t>
      </w:r>
      <w:r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EF2D45">
        <w:rPr>
          <w:rFonts w:ascii="Century Gothic" w:hAnsi="Century Gothic" w:cs="Calibri"/>
          <w:bCs/>
          <w:color w:val="003366"/>
          <w:sz w:val="20"/>
        </w:rPr>
        <w:t xml:space="preserve">è già </w:t>
      </w:r>
      <w:r w:rsidR="00AC750B">
        <w:rPr>
          <w:rFonts w:ascii="Century Gothic" w:hAnsi="Century Gothic" w:cs="Calibri"/>
          <w:bCs/>
          <w:color w:val="003366"/>
          <w:sz w:val="20"/>
        </w:rPr>
        <w:t>attivato</w:t>
      </w:r>
      <w:r w:rsidR="00EF2D45">
        <w:rPr>
          <w:rFonts w:ascii="Century Gothic" w:hAnsi="Century Gothic" w:cs="Calibri"/>
          <w:bCs/>
          <w:color w:val="003366"/>
          <w:sz w:val="20"/>
        </w:rPr>
        <w:t xml:space="preserve"> sui programmi del </w:t>
      </w:r>
      <w:r w:rsidR="00436724">
        <w:rPr>
          <w:rFonts w:ascii="Century Gothic" w:hAnsi="Century Gothic" w:cs="Calibri"/>
          <w:bCs/>
          <w:color w:val="003366"/>
          <w:sz w:val="20"/>
        </w:rPr>
        <w:t xml:space="preserve">PNRR </w:t>
      </w:r>
      <w:r w:rsidR="00EF2D45">
        <w:rPr>
          <w:rFonts w:ascii="Century Gothic" w:hAnsi="Century Gothic" w:cs="Calibri"/>
          <w:bCs/>
          <w:color w:val="003366"/>
          <w:sz w:val="20"/>
        </w:rPr>
        <w:t xml:space="preserve">e un ulteriore 27% ha in </w:t>
      </w:r>
      <w:r w:rsidR="00852133">
        <w:rPr>
          <w:rFonts w:ascii="Century Gothic" w:hAnsi="Century Gothic" w:cs="Calibri"/>
          <w:bCs/>
          <w:color w:val="003366"/>
          <w:sz w:val="20"/>
        </w:rPr>
        <w:t xml:space="preserve">agenda </w:t>
      </w:r>
      <w:r w:rsidR="00EF2D45">
        <w:rPr>
          <w:rFonts w:ascii="Century Gothic" w:hAnsi="Century Gothic" w:cs="Calibri"/>
          <w:bCs/>
          <w:color w:val="003366"/>
          <w:sz w:val="20"/>
        </w:rPr>
        <w:t xml:space="preserve">di farlo nel prossimo futuro. </w:t>
      </w:r>
      <w:r w:rsidR="00AC750B">
        <w:rPr>
          <w:rFonts w:ascii="Century Gothic" w:hAnsi="Century Gothic" w:cs="Calibri"/>
          <w:bCs/>
          <w:color w:val="003366"/>
          <w:sz w:val="20"/>
        </w:rPr>
        <w:t xml:space="preserve">Tra </w:t>
      </w:r>
      <w:r w:rsidR="00E74BC0">
        <w:rPr>
          <w:rFonts w:ascii="Century Gothic" w:hAnsi="Century Gothic" w:cs="Calibri"/>
          <w:bCs/>
          <w:color w:val="003366"/>
          <w:sz w:val="20"/>
        </w:rPr>
        <w:t>queste</w:t>
      </w:r>
      <w:r w:rsidR="00436724">
        <w:rPr>
          <w:rFonts w:ascii="Century Gothic" w:hAnsi="Century Gothic" w:cs="Calibri"/>
          <w:bCs/>
          <w:color w:val="003366"/>
          <w:sz w:val="20"/>
        </w:rPr>
        <w:t>,</w:t>
      </w:r>
      <w:r w:rsidR="00E74BC0">
        <w:rPr>
          <w:rFonts w:ascii="Century Gothic" w:hAnsi="Century Gothic" w:cs="Calibri"/>
          <w:bCs/>
          <w:color w:val="003366"/>
          <w:sz w:val="20"/>
        </w:rPr>
        <w:t xml:space="preserve"> il 54% si</w:t>
      </w:r>
      <w:r w:rsidR="00436724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DD533C">
        <w:rPr>
          <w:rFonts w:ascii="Century Gothic" w:hAnsi="Century Gothic" w:cs="Calibri"/>
          <w:bCs/>
          <w:color w:val="003366"/>
          <w:sz w:val="20"/>
        </w:rPr>
        <w:t>impegna</w:t>
      </w:r>
      <w:r w:rsidR="00854B0E">
        <w:rPr>
          <w:rFonts w:ascii="Century Gothic" w:hAnsi="Century Gothic" w:cs="Calibri"/>
          <w:bCs/>
          <w:color w:val="003366"/>
          <w:sz w:val="20"/>
        </w:rPr>
        <w:t xml:space="preserve"> a</w:t>
      </w:r>
      <w:r w:rsidR="00E74BC0">
        <w:rPr>
          <w:rFonts w:ascii="Century Gothic" w:hAnsi="Century Gothic" w:cs="Calibri"/>
          <w:bCs/>
          <w:color w:val="003366"/>
          <w:sz w:val="20"/>
        </w:rPr>
        <w:t xml:space="preserve"> portare avanti la propria </w:t>
      </w:r>
      <w:r w:rsidR="006A33EE">
        <w:rPr>
          <w:rFonts w:ascii="Century Gothic" w:hAnsi="Century Gothic" w:cs="Calibri"/>
          <w:bCs/>
          <w:color w:val="003366"/>
          <w:sz w:val="20"/>
        </w:rPr>
        <w:t>T</w:t>
      </w:r>
      <w:r w:rsidR="00E74BC0">
        <w:rPr>
          <w:rFonts w:ascii="Century Gothic" w:hAnsi="Century Gothic" w:cs="Calibri"/>
          <w:bCs/>
          <w:color w:val="003366"/>
          <w:sz w:val="20"/>
        </w:rPr>
        <w:t xml:space="preserve">ransizione </w:t>
      </w:r>
      <w:r w:rsidR="006A33EE">
        <w:rPr>
          <w:rFonts w:ascii="Century Gothic" w:hAnsi="Century Gothic" w:cs="Calibri"/>
          <w:bCs/>
          <w:color w:val="003366"/>
          <w:sz w:val="20"/>
        </w:rPr>
        <w:t>D</w:t>
      </w:r>
      <w:r w:rsidR="00E74BC0">
        <w:rPr>
          <w:rFonts w:ascii="Century Gothic" w:hAnsi="Century Gothic" w:cs="Calibri"/>
          <w:bCs/>
          <w:color w:val="003366"/>
          <w:sz w:val="20"/>
        </w:rPr>
        <w:t xml:space="preserve">igitale, il 38% scommette sull’innovazione di processi con tecnologie </w:t>
      </w:r>
      <w:r w:rsidR="006A33EE">
        <w:rPr>
          <w:rFonts w:ascii="Century Gothic" w:hAnsi="Century Gothic" w:cs="Calibri"/>
          <w:bCs/>
          <w:color w:val="003366"/>
          <w:sz w:val="20"/>
        </w:rPr>
        <w:t>G</w:t>
      </w:r>
      <w:r w:rsidR="00E74BC0">
        <w:rPr>
          <w:rFonts w:ascii="Century Gothic" w:hAnsi="Century Gothic" w:cs="Calibri"/>
          <w:bCs/>
          <w:color w:val="003366"/>
          <w:sz w:val="20"/>
        </w:rPr>
        <w:t>reen e il 34% punta sull’economia circolare.</w:t>
      </w:r>
    </w:p>
    <w:p w14:paraId="26EF345F" w14:textId="6FEE70B5" w:rsidR="00EF2D45" w:rsidRDefault="00EF2D45" w:rsidP="008C3099">
      <w:pPr>
        <w:spacing w:line="276" w:lineRule="auto"/>
        <w:rPr>
          <w:rFonts w:ascii="Century Gothic" w:hAnsi="Century Gothic" w:cs="Calibri"/>
          <w:bCs/>
          <w:color w:val="003366"/>
          <w:sz w:val="20"/>
        </w:rPr>
      </w:pPr>
      <w:r>
        <w:rPr>
          <w:rFonts w:ascii="Century Gothic" w:hAnsi="Century Gothic" w:cs="Calibri"/>
          <w:bCs/>
          <w:color w:val="003366"/>
          <w:sz w:val="20"/>
        </w:rPr>
        <w:t xml:space="preserve">Ma 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oltre la metà delle imprese </w:t>
      </w:r>
      <w:r w:rsidR="00854B0E">
        <w:rPr>
          <w:rFonts w:ascii="Century Gothic" w:hAnsi="Century Gothic" w:cs="Calibri"/>
          <w:bCs/>
          <w:color w:val="003366"/>
          <w:sz w:val="20"/>
        </w:rPr>
        <w:t>ha rinunciato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854B0E">
        <w:rPr>
          <w:rFonts w:ascii="Century Gothic" w:hAnsi="Century Gothic" w:cs="Calibri"/>
          <w:bCs/>
          <w:color w:val="003366"/>
          <w:sz w:val="20"/>
        </w:rPr>
        <w:t xml:space="preserve">alle 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opportunità </w:t>
      </w:r>
      <w:r w:rsidR="00854B0E">
        <w:rPr>
          <w:rFonts w:ascii="Century Gothic" w:hAnsi="Century Gothic" w:cs="Calibri"/>
          <w:bCs/>
          <w:color w:val="003366"/>
          <w:sz w:val="20"/>
        </w:rPr>
        <w:t>del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Piano per le difficoltà che </w:t>
      </w:r>
      <w:r w:rsidR="00325DEA">
        <w:rPr>
          <w:rFonts w:ascii="Century Gothic" w:hAnsi="Century Gothic" w:cs="Calibri"/>
          <w:bCs/>
          <w:color w:val="003366"/>
          <w:sz w:val="20"/>
        </w:rPr>
        <w:t xml:space="preserve">ha 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incontrato sul campo. A frenare è soprattutto l’eccessiva burocrazia, indicata come una barriera </w:t>
      </w:r>
      <w:r w:rsidR="00852133">
        <w:rPr>
          <w:rFonts w:ascii="Century Gothic" w:hAnsi="Century Gothic" w:cs="Calibri"/>
          <w:bCs/>
          <w:color w:val="003366"/>
          <w:sz w:val="20"/>
        </w:rPr>
        <w:t>dal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56% di </w:t>
      </w:r>
      <w:r w:rsidR="00325DEA">
        <w:rPr>
          <w:rFonts w:ascii="Century Gothic" w:hAnsi="Century Gothic" w:cs="Calibri"/>
          <w:bCs/>
          <w:color w:val="003366"/>
          <w:sz w:val="20"/>
        </w:rPr>
        <w:t>esse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. A </w:t>
      </w:r>
      <w:r w:rsidR="00325DEA">
        <w:rPr>
          <w:rFonts w:ascii="Century Gothic" w:hAnsi="Century Gothic" w:cs="Calibri"/>
          <w:bCs/>
          <w:color w:val="003366"/>
          <w:sz w:val="20"/>
        </w:rPr>
        <w:t xml:space="preserve">netta </w:t>
      </w:r>
      <w:r w:rsidR="0008124F">
        <w:rPr>
          <w:rFonts w:ascii="Century Gothic" w:hAnsi="Century Gothic" w:cs="Calibri"/>
          <w:bCs/>
          <w:color w:val="003366"/>
          <w:sz w:val="20"/>
        </w:rPr>
        <w:t>distanza</w:t>
      </w:r>
      <w:r w:rsidR="00325DEA">
        <w:rPr>
          <w:rFonts w:ascii="Century Gothic" w:hAnsi="Century Gothic" w:cs="Calibri"/>
          <w:bCs/>
          <w:color w:val="003366"/>
          <w:sz w:val="20"/>
        </w:rPr>
        <w:t>,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tra le </w:t>
      </w:r>
      <w:r w:rsidR="00854B0E">
        <w:rPr>
          <w:rFonts w:ascii="Century Gothic" w:hAnsi="Century Gothic" w:cs="Calibri"/>
          <w:bCs/>
          <w:color w:val="003366"/>
          <w:sz w:val="20"/>
        </w:rPr>
        <w:t xml:space="preserve">altre </w:t>
      </w:r>
      <w:r w:rsidR="0008124F">
        <w:rPr>
          <w:rFonts w:ascii="Century Gothic" w:hAnsi="Century Gothic" w:cs="Calibri"/>
          <w:bCs/>
          <w:color w:val="003366"/>
          <w:sz w:val="20"/>
        </w:rPr>
        <w:t>motivazioni</w:t>
      </w:r>
      <w:r w:rsidR="00325DEA">
        <w:rPr>
          <w:rFonts w:ascii="Century Gothic" w:hAnsi="Century Gothic" w:cs="Calibri"/>
          <w:bCs/>
          <w:color w:val="003366"/>
          <w:sz w:val="20"/>
        </w:rPr>
        <w:t>,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si trovano le difficoltà tecniche interne legate</w:t>
      </w:r>
      <w:r w:rsidR="00852133">
        <w:rPr>
          <w:rFonts w:ascii="Century Gothic" w:hAnsi="Century Gothic" w:cs="Calibri"/>
          <w:bCs/>
          <w:color w:val="003366"/>
          <w:sz w:val="20"/>
        </w:rPr>
        <w:t xml:space="preserve"> al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</w:t>
      </w:r>
      <w:r w:rsidR="00325DEA">
        <w:rPr>
          <w:rFonts w:ascii="Century Gothic" w:hAnsi="Century Gothic" w:cs="Calibri"/>
          <w:bCs/>
          <w:color w:val="003366"/>
          <w:sz w:val="20"/>
        </w:rPr>
        <w:t>reperimento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di personale idoneo a seguire le procedure (16%) e </w:t>
      </w:r>
      <w:r w:rsidR="00506B41">
        <w:rPr>
          <w:rFonts w:ascii="Century Gothic" w:hAnsi="Century Gothic" w:cs="Calibri"/>
          <w:bCs/>
          <w:color w:val="003366"/>
          <w:sz w:val="20"/>
        </w:rPr>
        <w:t>la mancanza di assistenza da parte dei soggetti esterni adibiti a tale scopo (10%).</w:t>
      </w:r>
      <w:r w:rsidR="0008124F">
        <w:rPr>
          <w:rFonts w:ascii="Century Gothic" w:hAnsi="Century Gothic" w:cs="Calibri"/>
          <w:bCs/>
          <w:color w:val="003366"/>
          <w:sz w:val="20"/>
        </w:rPr>
        <w:t xml:space="preserve"> </w:t>
      </w:r>
    </w:p>
    <w:p w14:paraId="366FDE2D" w14:textId="037C04FF" w:rsidR="002D5C38" w:rsidRDefault="002D5C38" w:rsidP="00A33916">
      <w:pPr>
        <w:spacing w:line="276" w:lineRule="auto"/>
        <w:rPr>
          <w:rFonts w:ascii="Century Gothic" w:hAnsi="Century Gothic" w:cs="Calibri"/>
          <w:bCs/>
          <w:color w:val="003366"/>
          <w:sz w:val="20"/>
          <w:highlight w:val="magenta"/>
        </w:rPr>
      </w:pPr>
    </w:p>
    <w:sectPr w:rsidR="002D5C38" w:rsidSect="0011751D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3B48" w14:textId="77777777" w:rsidR="00906B97" w:rsidRDefault="00906B97">
      <w:r>
        <w:separator/>
      </w:r>
    </w:p>
  </w:endnote>
  <w:endnote w:type="continuationSeparator" w:id="0">
    <w:p w14:paraId="58BB7B9F" w14:textId="77777777" w:rsidR="00906B97" w:rsidRDefault="009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It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Italic">
    <w:altName w:val="Calibri"/>
    <w:charset w:val="00"/>
    <w:family w:val="roman"/>
    <w:notTrueType/>
    <w:pitch w:val="default"/>
  </w:font>
  <w:font w:name="Bodoni Bk BT">
    <w:altName w:val="Courier New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C60" w14:textId="77777777" w:rsidR="00EC5B5E" w:rsidRPr="00EC5B5E" w:rsidRDefault="00EC5B5E">
    <w:pPr>
      <w:rPr>
        <w:sz w:val="16"/>
        <w:szCs w:val="12"/>
      </w:rPr>
    </w:pPr>
  </w:p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929"/>
      <w:gridCol w:w="2929"/>
      <w:gridCol w:w="2930"/>
    </w:tblGrid>
    <w:tr w:rsidR="00D91E0A" w:rsidRPr="0011751D" w14:paraId="6112CD47" w14:textId="77777777" w:rsidTr="00B86267">
      <w:trPr>
        <w:trHeight w:val="868"/>
      </w:trPr>
      <w:tc>
        <w:tcPr>
          <w:tcW w:w="1666" w:type="pct"/>
          <w:tcBorders>
            <w:right w:val="single" w:sz="4" w:space="0" w:color="808080"/>
          </w:tcBorders>
          <w:vAlign w:val="center"/>
        </w:tcPr>
        <w:p w14:paraId="6A89BA58" w14:textId="3243BBBA" w:rsidR="00D91E0A" w:rsidRDefault="00D91E0A" w:rsidP="00DA4DA2">
          <w:pPr>
            <w:pStyle w:val="Pidipagina"/>
            <w:jc w:val="center"/>
            <w:rPr>
              <w:noProof/>
            </w:rPr>
          </w:pPr>
        </w:p>
      </w:tc>
      <w:tc>
        <w:tcPr>
          <w:tcW w:w="1666" w:type="pct"/>
          <w:tcBorders>
            <w:right w:val="single" w:sz="4" w:space="0" w:color="808080"/>
          </w:tcBorders>
          <w:shd w:val="clear" w:color="auto" w:fill="auto"/>
          <w:vAlign w:val="center"/>
        </w:tcPr>
        <w:p w14:paraId="6FE15287" w14:textId="096DB1DB" w:rsidR="00D91E0A" w:rsidRPr="00DA4DA2" w:rsidRDefault="00DA4DA2" w:rsidP="00DA4DA2">
          <w:pPr>
            <w:pStyle w:val="Didascalia"/>
            <w:spacing w:after="0"/>
            <w:jc w:val="center"/>
            <w:rPr>
              <w:rFonts w:ascii="Century Gothic" w:hAnsi="Century Gothic" w:cs="Calibri"/>
              <w:i w:val="0"/>
              <w:color w:val="003366"/>
              <w:sz w:val="14"/>
              <w:szCs w:val="14"/>
            </w:rPr>
          </w:pPr>
          <w:r w:rsidRPr="00EF7186">
            <w:rPr>
              <w:rFonts w:ascii="Century Gothic" w:hAnsi="Century Gothic" w:cs="Calibri"/>
              <w:i w:val="0"/>
              <w:color w:val="003366"/>
              <w:sz w:val="16"/>
              <w:szCs w:val="16"/>
            </w:rPr>
            <w:fldChar w:fldCharType="begin"/>
          </w:r>
          <w:r w:rsidRPr="00EF7186">
            <w:rPr>
              <w:rFonts w:ascii="Century Gothic" w:hAnsi="Century Gothic" w:cs="Calibri"/>
              <w:i w:val="0"/>
              <w:color w:val="003366"/>
              <w:sz w:val="16"/>
              <w:szCs w:val="16"/>
            </w:rPr>
            <w:instrText>PAGE   \* MERGEFORMAT</w:instrText>
          </w:r>
          <w:r w:rsidRPr="00EF7186">
            <w:rPr>
              <w:rFonts w:ascii="Century Gothic" w:hAnsi="Century Gothic" w:cs="Calibri"/>
              <w:i w:val="0"/>
              <w:color w:val="003366"/>
              <w:sz w:val="16"/>
              <w:szCs w:val="16"/>
            </w:rPr>
            <w:fldChar w:fldCharType="separate"/>
          </w:r>
          <w:r w:rsidRPr="00EF7186">
            <w:rPr>
              <w:rFonts w:ascii="Century Gothic" w:hAnsi="Century Gothic" w:cs="Calibri"/>
              <w:i w:val="0"/>
              <w:color w:val="003366"/>
              <w:sz w:val="16"/>
              <w:szCs w:val="16"/>
            </w:rPr>
            <w:t>1</w:t>
          </w:r>
          <w:r w:rsidRPr="00EF7186">
            <w:rPr>
              <w:rFonts w:ascii="Century Gothic" w:hAnsi="Century Gothic" w:cs="Calibri"/>
              <w:i w:val="0"/>
              <w:color w:val="003366"/>
              <w:sz w:val="16"/>
              <w:szCs w:val="16"/>
            </w:rPr>
            <w:fldChar w:fldCharType="end"/>
          </w:r>
        </w:p>
      </w:tc>
      <w:tc>
        <w:tcPr>
          <w:tcW w:w="1667" w:type="pct"/>
          <w:tcBorders>
            <w:left w:val="single" w:sz="4" w:space="0" w:color="808080"/>
          </w:tcBorders>
          <w:vAlign w:val="center"/>
        </w:tcPr>
        <w:p w14:paraId="3D7588ED" w14:textId="2C18FC43" w:rsidR="00D91E0A" w:rsidRPr="0011751D" w:rsidRDefault="00D91E0A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</w:p>
      </w:tc>
    </w:tr>
  </w:tbl>
  <w:p w14:paraId="295A0D30" w14:textId="77777777" w:rsidR="008743A7" w:rsidRPr="00EC5B5E" w:rsidRDefault="008743A7" w:rsidP="00513F62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410"/>
      <w:gridCol w:w="3260"/>
      <w:gridCol w:w="3118"/>
    </w:tblGrid>
    <w:tr w:rsidR="00DA4DA2" w:rsidRPr="0011751D" w14:paraId="7576FB59" w14:textId="77777777" w:rsidTr="00886E60">
      <w:trPr>
        <w:trHeight w:val="868"/>
      </w:trPr>
      <w:tc>
        <w:tcPr>
          <w:tcW w:w="1371" w:type="pct"/>
          <w:tcBorders>
            <w:right w:val="single" w:sz="4" w:space="0" w:color="808080"/>
          </w:tcBorders>
        </w:tcPr>
        <w:p w14:paraId="5C46C560" w14:textId="77777777" w:rsidR="00DA4DA2" w:rsidRPr="003A3BFF" w:rsidRDefault="00DA4DA2" w:rsidP="00DA4DA2">
          <w:pPr>
            <w:pStyle w:val="Pidipagina"/>
            <w:jc w:val="center"/>
            <w:rPr>
              <w:b/>
              <w:color w:val="808080"/>
              <w:szCs w:val="18"/>
            </w:rPr>
          </w:pPr>
          <w:r w:rsidRPr="003A3BFF">
            <w:rPr>
              <w:rFonts w:ascii="Calibri" w:hAnsi="Calibri" w:cs="Calibri"/>
              <w:b/>
              <w:color w:val="808080"/>
              <w:sz w:val="15"/>
              <w:szCs w:val="18"/>
            </w:rPr>
            <w:t>Media Relations Mediobanca</w:t>
          </w:r>
        </w:p>
        <w:p w14:paraId="220EEDEF" w14:textId="77777777" w:rsidR="00DA4DA2" w:rsidRPr="003A3BFF" w:rsidRDefault="00DA4DA2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3A3BFF">
            <w:rPr>
              <w:rFonts w:ascii="Calibri" w:hAnsi="Calibri" w:cs="Calibri"/>
              <w:color w:val="808080"/>
              <w:sz w:val="15"/>
              <w:szCs w:val="18"/>
            </w:rPr>
            <w:t>Tel. +39-02-8829 914/766</w:t>
          </w:r>
        </w:p>
        <w:p w14:paraId="31CABF8B" w14:textId="77777777" w:rsidR="00DA4DA2" w:rsidRDefault="003D5770" w:rsidP="00DA4DA2">
          <w:pPr>
            <w:pStyle w:val="Pidipagina"/>
            <w:jc w:val="center"/>
            <w:rPr>
              <w:noProof/>
            </w:rPr>
          </w:pPr>
          <w:hyperlink r:id="rId1" w:history="1">
            <w:r w:rsidR="00DA4DA2" w:rsidRPr="003A3BFF">
              <w:rPr>
                <w:rStyle w:val="Collegamentoipertestuale"/>
                <w:rFonts w:ascii="Calibri" w:hAnsi="Calibri" w:cs="Calibri"/>
                <w:sz w:val="15"/>
                <w:szCs w:val="18"/>
              </w:rPr>
              <w:t>media.relations@mediobanca.com</w:t>
            </w:r>
          </w:hyperlink>
        </w:p>
      </w:tc>
      <w:tc>
        <w:tcPr>
          <w:tcW w:w="1855" w:type="pct"/>
          <w:tcBorders>
            <w:right w:val="single" w:sz="4" w:space="0" w:color="808080"/>
          </w:tcBorders>
        </w:tcPr>
        <w:p w14:paraId="2DD837AD" w14:textId="77777777" w:rsidR="008A50C7" w:rsidRPr="00033408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033408"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87936" behindDoc="0" locked="0" layoutInCell="0" allowOverlap="1" wp14:anchorId="709589BA" wp14:editId="33D1A346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7" name="Group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8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7AF646" w14:textId="77777777" w:rsidR="00DA4DA2" w:rsidRDefault="00DA4DA2" w:rsidP="00DA4DA2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00121D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9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0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9589BA" id="Group 27" o:spid="_x0000_s1026" style="position:absolute;left:0;text-align:left;margin-left:556.75pt;margin-top:772.9pt;width:38.45pt;height:18.7pt;z-index:25168793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<v:textbox inset="0,0,0,0">
                        <w:txbxContent>
                          <w:p w14:paraId="647AF646" w14:textId="77777777" w:rsidR="00DA4DA2" w:rsidRDefault="00DA4DA2" w:rsidP="00DA4DA2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0121D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6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</w:t>
          </w:r>
        </w:p>
        <w:p w14:paraId="4A23098B" w14:textId="762372C8" w:rsidR="00DA4DA2" w:rsidRPr="00033408" w:rsidRDefault="008A50C7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033408">
            <w:rPr>
              <w:rFonts w:ascii="Calibri" w:hAnsi="Calibri" w:cs="Calibri"/>
              <w:color w:val="808080"/>
              <w:sz w:val="14"/>
              <w:szCs w:val="14"/>
            </w:rPr>
            <w:t>Tel. +39-</w:t>
          </w:r>
          <w:r w:rsidR="00DA4DA2" w:rsidRPr="00033408">
            <w:rPr>
              <w:rFonts w:ascii="Calibri" w:hAnsi="Calibri" w:cs="Calibri"/>
              <w:color w:val="808080"/>
              <w:sz w:val="14"/>
              <w:szCs w:val="14"/>
            </w:rPr>
            <w:t>06</w:t>
          </w:r>
          <w:r w:rsidRPr="00033408">
            <w:rPr>
              <w:rFonts w:ascii="Calibri" w:hAnsi="Calibri" w:cs="Calibri"/>
              <w:color w:val="808080"/>
              <w:sz w:val="14"/>
              <w:szCs w:val="14"/>
            </w:rPr>
            <w:t>-</w:t>
          </w:r>
          <w:r w:rsidR="00DA4DA2" w:rsidRPr="00033408">
            <w:rPr>
              <w:rFonts w:ascii="Calibri" w:hAnsi="Calibri" w:cs="Calibri"/>
              <w:color w:val="808080"/>
              <w:sz w:val="14"/>
              <w:szCs w:val="14"/>
            </w:rPr>
            <w:t>4704 350</w:t>
          </w:r>
          <w:r w:rsidRPr="00033408">
            <w:rPr>
              <w:rFonts w:ascii="Calibri" w:hAnsi="Calibri" w:cs="Calibri"/>
              <w:color w:val="808080"/>
              <w:sz w:val="14"/>
              <w:szCs w:val="14"/>
            </w:rPr>
            <w:t>/</w:t>
          </w:r>
          <w:r w:rsidR="00DA4DA2" w:rsidRPr="00033408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D31EF5D" w14:textId="7900D9E3" w:rsidR="0004145D" w:rsidRPr="00033408" w:rsidRDefault="003D5770" w:rsidP="0004145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2" w:history="1">
            <w:r w:rsidR="00DA4DA2" w:rsidRPr="00033408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DA4DA2" w:rsidRPr="00033408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3" w:history="1">
            <w:r w:rsidR="00DA4DA2" w:rsidRPr="00033408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DA4DA2" w:rsidRPr="00033408">
            <w:rPr>
              <w:rStyle w:val="Collegamentoipertestuale"/>
              <w:rFonts w:ascii="Calibri" w:hAnsi="Calibri" w:cs="Calibri"/>
              <w:i w:val="0"/>
              <w:sz w:val="14"/>
              <w:szCs w:val="14"/>
              <w:u w:val="none"/>
            </w:rPr>
            <w:t xml:space="preserve"> - </w:t>
          </w:r>
          <w:hyperlink r:id="rId4" w:history="1">
            <w:r w:rsidR="00DA4DA2" w:rsidRPr="00033408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twitter.com/</w:t>
            </w:r>
            <w:r w:rsidR="00DA4DA2" w:rsidRPr="00033408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unioncamere</w:t>
            </w:r>
          </w:hyperlink>
        </w:p>
      </w:tc>
      <w:tc>
        <w:tcPr>
          <w:tcW w:w="1774" w:type="pct"/>
          <w:tcBorders>
            <w:left w:val="single" w:sz="4" w:space="0" w:color="808080"/>
          </w:tcBorders>
        </w:tcPr>
        <w:p w14:paraId="3FB8A2C5" w14:textId="77777777" w:rsidR="00DA4DA2" w:rsidRPr="00033408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29492D32" w14:textId="1DCB4555" w:rsidR="00DA4DA2" w:rsidRPr="00033408" w:rsidRDefault="00DA4DA2" w:rsidP="00DA4DA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>Loredana Capuozzo</w:t>
          </w:r>
          <w:r w:rsidR="008A50C7"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 –</w:t>
          </w:r>
          <w:r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 </w:t>
          </w:r>
          <w:r w:rsidR="008A50C7"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Tel. </w:t>
          </w:r>
          <w:r w:rsidRPr="00033408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331.6098963, loredana.capuozzo@tagliacarne.it </w:t>
          </w:r>
        </w:p>
        <w:p w14:paraId="77579188" w14:textId="71D19CD2" w:rsidR="00DA4DA2" w:rsidRPr="00033408" w:rsidRDefault="003D5770" w:rsidP="00DA4DA2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5" w:history="1">
            <w:r w:rsidR="00DA4DA2" w:rsidRPr="00033408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DA4DA2" w:rsidRPr="00033408">
            <w:rPr>
              <w:rStyle w:val="Collegamentoipertestuale"/>
              <w:rFonts w:ascii="Calibri" w:hAnsi="Calibri" w:cs="Calibri"/>
              <w:sz w:val="14"/>
              <w:szCs w:val="14"/>
              <w:u w:val="none"/>
            </w:rPr>
            <w:t xml:space="preserve"> </w:t>
          </w:r>
          <w:r w:rsidR="0004145D" w:rsidRPr="00033408">
            <w:rPr>
              <w:rFonts w:ascii="Calibri" w:hAnsi="Calibri" w:cs="Calibri"/>
              <w:color w:val="808080"/>
              <w:sz w:val="14"/>
              <w:szCs w:val="14"/>
            </w:rPr>
            <w:t xml:space="preserve">- </w:t>
          </w:r>
          <w:hyperlink r:id="rId6" w:history="1">
            <w:r w:rsidR="00DA4DA2" w:rsidRPr="00033408">
              <w:rPr>
                <w:rStyle w:val="Collegamentoipertestuale"/>
                <w:rFonts w:ascii="Calibri" w:hAnsi="Calibri" w:cs="Calibri"/>
                <w:sz w:val="14"/>
                <w:szCs w:val="14"/>
              </w:rPr>
              <w:t>twitter.com/IstTagliacarne</w:t>
            </w:r>
          </w:hyperlink>
        </w:p>
      </w:tc>
    </w:tr>
  </w:tbl>
  <w:p w14:paraId="2D8D61F8" w14:textId="77777777" w:rsidR="008743A7" w:rsidRPr="00DA4DA2" w:rsidRDefault="008743A7" w:rsidP="00DA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4444" w14:textId="77777777" w:rsidR="00906B97" w:rsidRDefault="00906B97">
      <w:r>
        <w:separator/>
      </w:r>
    </w:p>
  </w:footnote>
  <w:footnote w:type="continuationSeparator" w:id="0">
    <w:p w14:paraId="066E3709" w14:textId="77777777" w:rsidR="00906B97" w:rsidRDefault="0090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33BE18E2" w14:textId="77777777" w:rsidTr="00DA4DA2">
      <w:trPr>
        <w:trHeight w:val="983"/>
      </w:trPr>
      <w:tc>
        <w:tcPr>
          <w:tcW w:w="2929" w:type="dxa"/>
          <w:vAlign w:val="center"/>
        </w:tcPr>
        <w:p w14:paraId="52BF7172" w14:textId="4976F802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415326D" wp14:editId="03909A91">
                <wp:extent cx="1382486" cy="252253"/>
                <wp:effectExtent l="0" t="0" r="8255" b="0"/>
                <wp:docPr id="17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360" cy="2679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5700480" w14:textId="110680C4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3907173" wp14:editId="2A31AC46">
                <wp:extent cx="1279071" cy="300922"/>
                <wp:effectExtent l="0" t="0" r="0" b="4445"/>
                <wp:docPr id="9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07" cy="31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05694D10" w14:textId="675E8753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  <w:lang w:val="en-US" w:eastAsia="en-US"/>
            </w:rPr>
            <w:drawing>
              <wp:inline distT="0" distB="0" distL="0" distR="0" wp14:anchorId="0CFA0292" wp14:editId="03E3BCD5">
                <wp:extent cx="1513115" cy="383259"/>
                <wp:effectExtent l="0" t="0" r="0" b="0"/>
                <wp:docPr id="10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545270" cy="391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5B542F" w14:textId="7211F1AE" w:rsidR="00DA4DA2" w:rsidRDefault="00DA4DA2" w:rsidP="006271EC">
    <w:pPr>
      <w:pStyle w:val="Intestazion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78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DA4DA2" w14:paraId="0F025260" w14:textId="77777777" w:rsidTr="00886E60">
      <w:trPr>
        <w:trHeight w:val="983"/>
      </w:trPr>
      <w:tc>
        <w:tcPr>
          <w:tcW w:w="2929" w:type="dxa"/>
          <w:vAlign w:val="center"/>
        </w:tcPr>
        <w:p w14:paraId="785BBCFF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8AB362F" wp14:editId="4B4A7F17">
                <wp:extent cx="1701165" cy="310400"/>
                <wp:effectExtent l="0" t="0" r="0" b="0"/>
                <wp:docPr id="32" name="Immagine 1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64" cy="322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726E780C" w14:textId="77777777" w:rsidR="00DA4DA2" w:rsidRDefault="00DA4DA2" w:rsidP="00DA4DA2">
          <w:pPr>
            <w:pStyle w:val="Intestazione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3FA8347" wp14:editId="3C8B002D">
                <wp:extent cx="1644733" cy="386949"/>
                <wp:effectExtent l="0" t="0" r="0" b="0"/>
                <wp:docPr id="33" name="Immagine 9" descr="Descrizione: http://www.unioncamere.gov.it/images/logo_unioncame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://www.unioncamere.gov.it/images/logo_unioncame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959" cy="39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vAlign w:val="center"/>
        </w:tcPr>
        <w:p w14:paraId="1300567A" w14:textId="77777777" w:rsidR="00DA4DA2" w:rsidRDefault="00DA4DA2" w:rsidP="00DA4DA2">
          <w:pPr>
            <w:pStyle w:val="Intestazione"/>
            <w:jc w:val="center"/>
          </w:pPr>
          <w:r w:rsidRPr="00EB5491">
            <w:rPr>
              <w:noProof/>
              <w:lang w:val="en-US" w:eastAsia="en-US"/>
            </w:rPr>
            <w:drawing>
              <wp:inline distT="0" distB="0" distL="0" distR="0" wp14:anchorId="3B929FD4" wp14:editId="38ADC622">
                <wp:extent cx="1691764" cy="428509"/>
                <wp:effectExtent l="0" t="0" r="3810" b="0"/>
                <wp:docPr id="34" name="Immagine 10" descr="C:\Users\User\Desktop\lavoro_loredana_e_lory08022021\lavoro_loredana\taglicarne_strategia\logo_tagliacarne\marchio Tagliacarne (2)\marchio-TAGLIACARNE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avoro_loredana_e_lory08022021\lavoro_loredana\taglicarne_strategia\logo_tagliacarne\marchio Tagliacarne (2)\marchio-TAGLIACARNE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00" r="4813"/>
                        <a:stretch/>
                      </pic:blipFill>
                      <pic:spPr bwMode="auto">
                        <a:xfrm>
                          <a:off x="0" y="0"/>
                          <a:ext cx="1691764" cy="42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1EEE5C" w14:textId="77777777" w:rsidR="00DA4DA2" w:rsidRDefault="00DA4DA2" w:rsidP="00DA4DA2">
    <w:pPr>
      <w:pStyle w:val="Intestazione"/>
      <w:ind w:left="-567"/>
    </w:pPr>
  </w:p>
  <w:p w14:paraId="0E354D2A" w14:textId="7040BF57" w:rsidR="008743A7" w:rsidRPr="00DA4DA2" w:rsidRDefault="008743A7" w:rsidP="00DA4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5C10"/>
    <w:multiLevelType w:val="multilevel"/>
    <w:tmpl w:val="80E44426"/>
    <w:lvl w:ilvl="0">
      <w:start w:val="1"/>
      <w:numFmt w:val="decimal"/>
      <w:pStyle w:val="Titolosommari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EC079EA"/>
    <w:multiLevelType w:val="hybridMultilevel"/>
    <w:tmpl w:val="9ECA4F48"/>
    <w:lvl w:ilvl="0" w:tplc="D0EC8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C1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3E6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EC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AE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61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60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5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23077829">
    <w:abstractNumId w:val="3"/>
  </w:num>
  <w:num w:numId="2" w16cid:durableId="445269914">
    <w:abstractNumId w:val="1"/>
  </w:num>
  <w:num w:numId="3" w16cid:durableId="1054550305">
    <w:abstractNumId w:val="0"/>
  </w:num>
  <w:num w:numId="4" w16cid:durableId="19078369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attachedTemplate r:id="rId1"/>
  <w:revisionView w:inkAnnotation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21D"/>
    <w:rsid w:val="00001619"/>
    <w:rsid w:val="00002B29"/>
    <w:rsid w:val="00002DE1"/>
    <w:rsid w:val="000045DD"/>
    <w:rsid w:val="00004F7A"/>
    <w:rsid w:val="00005966"/>
    <w:rsid w:val="00006F4C"/>
    <w:rsid w:val="0000771E"/>
    <w:rsid w:val="0001186F"/>
    <w:rsid w:val="00013BF5"/>
    <w:rsid w:val="00014811"/>
    <w:rsid w:val="00016D78"/>
    <w:rsid w:val="00020394"/>
    <w:rsid w:val="00021267"/>
    <w:rsid w:val="0002367A"/>
    <w:rsid w:val="00024465"/>
    <w:rsid w:val="00025355"/>
    <w:rsid w:val="00025B7F"/>
    <w:rsid w:val="00027F2E"/>
    <w:rsid w:val="00030F34"/>
    <w:rsid w:val="00033408"/>
    <w:rsid w:val="00037DA9"/>
    <w:rsid w:val="0004145D"/>
    <w:rsid w:val="00041FD2"/>
    <w:rsid w:val="00043006"/>
    <w:rsid w:val="00043699"/>
    <w:rsid w:val="0004700A"/>
    <w:rsid w:val="000474A0"/>
    <w:rsid w:val="00051C8D"/>
    <w:rsid w:val="00052703"/>
    <w:rsid w:val="000533F9"/>
    <w:rsid w:val="00054023"/>
    <w:rsid w:val="00054263"/>
    <w:rsid w:val="000564CD"/>
    <w:rsid w:val="00057D47"/>
    <w:rsid w:val="000601CF"/>
    <w:rsid w:val="000654C4"/>
    <w:rsid w:val="00065EAB"/>
    <w:rsid w:val="000662C4"/>
    <w:rsid w:val="00071734"/>
    <w:rsid w:val="000723A9"/>
    <w:rsid w:val="00073163"/>
    <w:rsid w:val="00073218"/>
    <w:rsid w:val="000732A6"/>
    <w:rsid w:val="000803DF"/>
    <w:rsid w:val="0008124F"/>
    <w:rsid w:val="00081250"/>
    <w:rsid w:val="0008161F"/>
    <w:rsid w:val="00081D29"/>
    <w:rsid w:val="000836A4"/>
    <w:rsid w:val="00084EB3"/>
    <w:rsid w:val="00085058"/>
    <w:rsid w:val="00085E78"/>
    <w:rsid w:val="000869FF"/>
    <w:rsid w:val="00090916"/>
    <w:rsid w:val="000918A3"/>
    <w:rsid w:val="0009305C"/>
    <w:rsid w:val="000942A2"/>
    <w:rsid w:val="00094810"/>
    <w:rsid w:val="00094BD1"/>
    <w:rsid w:val="00094C6C"/>
    <w:rsid w:val="00095103"/>
    <w:rsid w:val="00096C4B"/>
    <w:rsid w:val="000A0D17"/>
    <w:rsid w:val="000A2A38"/>
    <w:rsid w:val="000A3FBE"/>
    <w:rsid w:val="000A5AA4"/>
    <w:rsid w:val="000A5C7E"/>
    <w:rsid w:val="000A6E5E"/>
    <w:rsid w:val="000A71E9"/>
    <w:rsid w:val="000A7CD9"/>
    <w:rsid w:val="000B030E"/>
    <w:rsid w:val="000B1F19"/>
    <w:rsid w:val="000B2145"/>
    <w:rsid w:val="000B2D19"/>
    <w:rsid w:val="000B2E16"/>
    <w:rsid w:val="000B3393"/>
    <w:rsid w:val="000B50F7"/>
    <w:rsid w:val="000B6C06"/>
    <w:rsid w:val="000B6C40"/>
    <w:rsid w:val="000B6C88"/>
    <w:rsid w:val="000B71A1"/>
    <w:rsid w:val="000B7509"/>
    <w:rsid w:val="000C4837"/>
    <w:rsid w:val="000C48B9"/>
    <w:rsid w:val="000C49BF"/>
    <w:rsid w:val="000C5039"/>
    <w:rsid w:val="000C5413"/>
    <w:rsid w:val="000C7BEE"/>
    <w:rsid w:val="000C7F11"/>
    <w:rsid w:val="000D0401"/>
    <w:rsid w:val="000D06CB"/>
    <w:rsid w:val="000D55E4"/>
    <w:rsid w:val="000D564E"/>
    <w:rsid w:val="000D6964"/>
    <w:rsid w:val="000D7D12"/>
    <w:rsid w:val="000E0E3F"/>
    <w:rsid w:val="000E3208"/>
    <w:rsid w:val="000E48CB"/>
    <w:rsid w:val="000E5BF7"/>
    <w:rsid w:val="000E5DD0"/>
    <w:rsid w:val="000E6682"/>
    <w:rsid w:val="000E669F"/>
    <w:rsid w:val="000E6FE3"/>
    <w:rsid w:val="000F01DB"/>
    <w:rsid w:val="000F2D02"/>
    <w:rsid w:val="000F4992"/>
    <w:rsid w:val="001006B9"/>
    <w:rsid w:val="001010B0"/>
    <w:rsid w:val="00102516"/>
    <w:rsid w:val="00102C96"/>
    <w:rsid w:val="00103A8C"/>
    <w:rsid w:val="00105352"/>
    <w:rsid w:val="00105DA2"/>
    <w:rsid w:val="00105FA4"/>
    <w:rsid w:val="00106804"/>
    <w:rsid w:val="001073D8"/>
    <w:rsid w:val="00107732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22989"/>
    <w:rsid w:val="00124DB0"/>
    <w:rsid w:val="00130C19"/>
    <w:rsid w:val="00131350"/>
    <w:rsid w:val="00131776"/>
    <w:rsid w:val="00132F0B"/>
    <w:rsid w:val="00134311"/>
    <w:rsid w:val="00135E19"/>
    <w:rsid w:val="001369C5"/>
    <w:rsid w:val="001406A2"/>
    <w:rsid w:val="00140A97"/>
    <w:rsid w:val="0014309F"/>
    <w:rsid w:val="00155841"/>
    <w:rsid w:val="001608E0"/>
    <w:rsid w:val="00162BBF"/>
    <w:rsid w:val="00163DF6"/>
    <w:rsid w:val="00166758"/>
    <w:rsid w:val="00171C83"/>
    <w:rsid w:val="00171FE4"/>
    <w:rsid w:val="00172A83"/>
    <w:rsid w:val="0017681C"/>
    <w:rsid w:val="00176868"/>
    <w:rsid w:val="0017715E"/>
    <w:rsid w:val="00177C84"/>
    <w:rsid w:val="001803F1"/>
    <w:rsid w:val="00182654"/>
    <w:rsid w:val="00182DFE"/>
    <w:rsid w:val="0018372E"/>
    <w:rsid w:val="00183DE7"/>
    <w:rsid w:val="001873E2"/>
    <w:rsid w:val="0019162E"/>
    <w:rsid w:val="00192030"/>
    <w:rsid w:val="001956FC"/>
    <w:rsid w:val="00197DD6"/>
    <w:rsid w:val="001A0430"/>
    <w:rsid w:val="001A13D7"/>
    <w:rsid w:val="001A2F2A"/>
    <w:rsid w:val="001A4BD3"/>
    <w:rsid w:val="001A5010"/>
    <w:rsid w:val="001B0CE5"/>
    <w:rsid w:val="001B14D1"/>
    <w:rsid w:val="001B2038"/>
    <w:rsid w:val="001B2987"/>
    <w:rsid w:val="001B3001"/>
    <w:rsid w:val="001B45B0"/>
    <w:rsid w:val="001B702B"/>
    <w:rsid w:val="001B7095"/>
    <w:rsid w:val="001B728F"/>
    <w:rsid w:val="001B76D7"/>
    <w:rsid w:val="001B797C"/>
    <w:rsid w:val="001C164A"/>
    <w:rsid w:val="001C1A8F"/>
    <w:rsid w:val="001C2A16"/>
    <w:rsid w:val="001C3453"/>
    <w:rsid w:val="001C7CBF"/>
    <w:rsid w:val="001D322E"/>
    <w:rsid w:val="001D3B09"/>
    <w:rsid w:val="001D48B2"/>
    <w:rsid w:val="001D48E0"/>
    <w:rsid w:val="001D4AC4"/>
    <w:rsid w:val="001D7FEB"/>
    <w:rsid w:val="001E0DD6"/>
    <w:rsid w:val="001E77CE"/>
    <w:rsid w:val="001E79D7"/>
    <w:rsid w:val="001F1183"/>
    <w:rsid w:val="001F3780"/>
    <w:rsid w:val="001F4613"/>
    <w:rsid w:val="001F4790"/>
    <w:rsid w:val="001F4B6B"/>
    <w:rsid w:val="001F781D"/>
    <w:rsid w:val="001F7BB3"/>
    <w:rsid w:val="00201E1D"/>
    <w:rsid w:val="002021C9"/>
    <w:rsid w:val="0020257F"/>
    <w:rsid w:val="002026F6"/>
    <w:rsid w:val="002075C7"/>
    <w:rsid w:val="0021221D"/>
    <w:rsid w:val="002122D9"/>
    <w:rsid w:val="002131A3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2D07"/>
    <w:rsid w:val="00233AE5"/>
    <w:rsid w:val="002342AB"/>
    <w:rsid w:val="00234A51"/>
    <w:rsid w:val="00234BB9"/>
    <w:rsid w:val="002352F5"/>
    <w:rsid w:val="002355BF"/>
    <w:rsid w:val="00244A59"/>
    <w:rsid w:val="00247843"/>
    <w:rsid w:val="002515AC"/>
    <w:rsid w:val="002518CC"/>
    <w:rsid w:val="002528BC"/>
    <w:rsid w:val="002536AF"/>
    <w:rsid w:val="002539D1"/>
    <w:rsid w:val="0026196D"/>
    <w:rsid w:val="00263179"/>
    <w:rsid w:val="002651AD"/>
    <w:rsid w:val="00267F62"/>
    <w:rsid w:val="0027096B"/>
    <w:rsid w:val="00272EC1"/>
    <w:rsid w:val="00276B33"/>
    <w:rsid w:val="002806B2"/>
    <w:rsid w:val="002814E2"/>
    <w:rsid w:val="00282EE4"/>
    <w:rsid w:val="0028340A"/>
    <w:rsid w:val="00283941"/>
    <w:rsid w:val="00283D02"/>
    <w:rsid w:val="00283E30"/>
    <w:rsid w:val="00286B45"/>
    <w:rsid w:val="00287176"/>
    <w:rsid w:val="00290AE9"/>
    <w:rsid w:val="00290FE2"/>
    <w:rsid w:val="00291EF2"/>
    <w:rsid w:val="00291FC6"/>
    <w:rsid w:val="00293095"/>
    <w:rsid w:val="002934B8"/>
    <w:rsid w:val="0029644F"/>
    <w:rsid w:val="00297F88"/>
    <w:rsid w:val="002A0881"/>
    <w:rsid w:val="002A0C81"/>
    <w:rsid w:val="002A1355"/>
    <w:rsid w:val="002A1FA4"/>
    <w:rsid w:val="002A210C"/>
    <w:rsid w:val="002A24B1"/>
    <w:rsid w:val="002A4615"/>
    <w:rsid w:val="002A48E2"/>
    <w:rsid w:val="002A5761"/>
    <w:rsid w:val="002A5770"/>
    <w:rsid w:val="002A7EF0"/>
    <w:rsid w:val="002B09A9"/>
    <w:rsid w:val="002B1971"/>
    <w:rsid w:val="002B20A7"/>
    <w:rsid w:val="002B2C5E"/>
    <w:rsid w:val="002B4EC8"/>
    <w:rsid w:val="002B506B"/>
    <w:rsid w:val="002B794A"/>
    <w:rsid w:val="002C1219"/>
    <w:rsid w:val="002C2807"/>
    <w:rsid w:val="002C55B1"/>
    <w:rsid w:val="002C6F6B"/>
    <w:rsid w:val="002C7B2B"/>
    <w:rsid w:val="002C7F50"/>
    <w:rsid w:val="002D29EA"/>
    <w:rsid w:val="002D4712"/>
    <w:rsid w:val="002D5384"/>
    <w:rsid w:val="002D5C38"/>
    <w:rsid w:val="002D6E54"/>
    <w:rsid w:val="002D7D78"/>
    <w:rsid w:val="002E13A6"/>
    <w:rsid w:val="002E266D"/>
    <w:rsid w:val="002E40F9"/>
    <w:rsid w:val="002F1B7D"/>
    <w:rsid w:val="002F240F"/>
    <w:rsid w:val="002F30DD"/>
    <w:rsid w:val="002F3100"/>
    <w:rsid w:val="002F41B8"/>
    <w:rsid w:val="002F53D5"/>
    <w:rsid w:val="002F56D6"/>
    <w:rsid w:val="002F6282"/>
    <w:rsid w:val="002F68C1"/>
    <w:rsid w:val="002F7257"/>
    <w:rsid w:val="002F7C37"/>
    <w:rsid w:val="003013AE"/>
    <w:rsid w:val="00301D4B"/>
    <w:rsid w:val="00303CD2"/>
    <w:rsid w:val="00304CFD"/>
    <w:rsid w:val="003105A7"/>
    <w:rsid w:val="0031066C"/>
    <w:rsid w:val="003108B6"/>
    <w:rsid w:val="0031402D"/>
    <w:rsid w:val="00315193"/>
    <w:rsid w:val="003156F3"/>
    <w:rsid w:val="00316799"/>
    <w:rsid w:val="003168DE"/>
    <w:rsid w:val="00316BC8"/>
    <w:rsid w:val="00321B95"/>
    <w:rsid w:val="00322997"/>
    <w:rsid w:val="003259C6"/>
    <w:rsid w:val="00325DEA"/>
    <w:rsid w:val="0032711B"/>
    <w:rsid w:val="00327FC5"/>
    <w:rsid w:val="00333EA7"/>
    <w:rsid w:val="0033416D"/>
    <w:rsid w:val="0033788D"/>
    <w:rsid w:val="003408B7"/>
    <w:rsid w:val="00341286"/>
    <w:rsid w:val="00343DD7"/>
    <w:rsid w:val="00347224"/>
    <w:rsid w:val="00347BA5"/>
    <w:rsid w:val="00350365"/>
    <w:rsid w:val="003506B5"/>
    <w:rsid w:val="00352D90"/>
    <w:rsid w:val="00352E70"/>
    <w:rsid w:val="00355FE3"/>
    <w:rsid w:val="00356F3E"/>
    <w:rsid w:val="003608E6"/>
    <w:rsid w:val="00361C45"/>
    <w:rsid w:val="00362B70"/>
    <w:rsid w:val="00363A58"/>
    <w:rsid w:val="00365DBF"/>
    <w:rsid w:val="00366472"/>
    <w:rsid w:val="00370284"/>
    <w:rsid w:val="00370D06"/>
    <w:rsid w:val="00370EB6"/>
    <w:rsid w:val="0037224F"/>
    <w:rsid w:val="00372AC8"/>
    <w:rsid w:val="00374AA8"/>
    <w:rsid w:val="0038026C"/>
    <w:rsid w:val="00380AC6"/>
    <w:rsid w:val="00383763"/>
    <w:rsid w:val="00385016"/>
    <w:rsid w:val="003864F8"/>
    <w:rsid w:val="00386653"/>
    <w:rsid w:val="00391C7E"/>
    <w:rsid w:val="00391D84"/>
    <w:rsid w:val="00392732"/>
    <w:rsid w:val="00392E91"/>
    <w:rsid w:val="00393DD2"/>
    <w:rsid w:val="00395DC2"/>
    <w:rsid w:val="00397FA8"/>
    <w:rsid w:val="003A26DF"/>
    <w:rsid w:val="003A3087"/>
    <w:rsid w:val="003A3477"/>
    <w:rsid w:val="003A3B47"/>
    <w:rsid w:val="003A3BFF"/>
    <w:rsid w:val="003A5F12"/>
    <w:rsid w:val="003A6AA0"/>
    <w:rsid w:val="003B2002"/>
    <w:rsid w:val="003B3669"/>
    <w:rsid w:val="003B47D0"/>
    <w:rsid w:val="003B5391"/>
    <w:rsid w:val="003B609B"/>
    <w:rsid w:val="003B65BA"/>
    <w:rsid w:val="003B6807"/>
    <w:rsid w:val="003B7E45"/>
    <w:rsid w:val="003C24D9"/>
    <w:rsid w:val="003C29D1"/>
    <w:rsid w:val="003C46F2"/>
    <w:rsid w:val="003C66B6"/>
    <w:rsid w:val="003C7F64"/>
    <w:rsid w:val="003D0CA9"/>
    <w:rsid w:val="003D0D4B"/>
    <w:rsid w:val="003D0F8B"/>
    <w:rsid w:val="003D1FF1"/>
    <w:rsid w:val="003D2A56"/>
    <w:rsid w:val="003D33EE"/>
    <w:rsid w:val="003D3626"/>
    <w:rsid w:val="003D5770"/>
    <w:rsid w:val="003D7425"/>
    <w:rsid w:val="003D7BED"/>
    <w:rsid w:val="003E0DE0"/>
    <w:rsid w:val="003E19DF"/>
    <w:rsid w:val="003E2071"/>
    <w:rsid w:val="003E21EE"/>
    <w:rsid w:val="003E4383"/>
    <w:rsid w:val="003E5C59"/>
    <w:rsid w:val="003E6091"/>
    <w:rsid w:val="003E7B9B"/>
    <w:rsid w:val="003F170F"/>
    <w:rsid w:val="003F2C19"/>
    <w:rsid w:val="003F3C66"/>
    <w:rsid w:val="003F4F7B"/>
    <w:rsid w:val="003F5572"/>
    <w:rsid w:val="00401838"/>
    <w:rsid w:val="00401B33"/>
    <w:rsid w:val="00402714"/>
    <w:rsid w:val="004038E8"/>
    <w:rsid w:val="00405ECF"/>
    <w:rsid w:val="0040734C"/>
    <w:rsid w:val="00410690"/>
    <w:rsid w:val="00411398"/>
    <w:rsid w:val="004119D9"/>
    <w:rsid w:val="00412950"/>
    <w:rsid w:val="0041339E"/>
    <w:rsid w:val="004139EB"/>
    <w:rsid w:val="00415E34"/>
    <w:rsid w:val="004169DE"/>
    <w:rsid w:val="00416B25"/>
    <w:rsid w:val="0042173A"/>
    <w:rsid w:val="00421946"/>
    <w:rsid w:val="00422659"/>
    <w:rsid w:val="004229A5"/>
    <w:rsid w:val="00422F2B"/>
    <w:rsid w:val="00424731"/>
    <w:rsid w:val="00425AFA"/>
    <w:rsid w:val="00425D86"/>
    <w:rsid w:val="00427562"/>
    <w:rsid w:val="00427FA6"/>
    <w:rsid w:val="00430BDE"/>
    <w:rsid w:val="00431717"/>
    <w:rsid w:val="00432A61"/>
    <w:rsid w:val="004345E1"/>
    <w:rsid w:val="0043471E"/>
    <w:rsid w:val="0043569A"/>
    <w:rsid w:val="00436724"/>
    <w:rsid w:val="00437130"/>
    <w:rsid w:val="0044231B"/>
    <w:rsid w:val="00446656"/>
    <w:rsid w:val="00447CE1"/>
    <w:rsid w:val="0045607C"/>
    <w:rsid w:val="00456890"/>
    <w:rsid w:val="004570FB"/>
    <w:rsid w:val="00457E19"/>
    <w:rsid w:val="0046074C"/>
    <w:rsid w:val="00460CE4"/>
    <w:rsid w:val="00461371"/>
    <w:rsid w:val="00465476"/>
    <w:rsid w:val="00466B5D"/>
    <w:rsid w:val="004670B0"/>
    <w:rsid w:val="00467827"/>
    <w:rsid w:val="00474420"/>
    <w:rsid w:val="00476AB1"/>
    <w:rsid w:val="00477D8E"/>
    <w:rsid w:val="00477FD5"/>
    <w:rsid w:val="00480C34"/>
    <w:rsid w:val="00481CA8"/>
    <w:rsid w:val="00481EAC"/>
    <w:rsid w:val="00482AB3"/>
    <w:rsid w:val="00482F5C"/>
    <w:rsid w:val="00483A9A"/>
    <w:rsid w:val="00484C03"/>
    <w:rsid w:val="00485347"/>
    <w:rsid w:val="00486A92"/>
    <w:rsid w:val="00486D63"/>
    <w:rsid w:val="0048711B"/>
    <w:rsid w:val="00492B6E"/>
    <w:rsid w:val="00492CE0"/>
    <w:rsid w:val="00494885"/>
    <w:rsid w:val="004960A6"/>
    <w:rsid w:val="00497645"/>
    <w:rsid w:val="00497D04"/>
    <w:rsid w:val="004A44C8"/>
    <w:rsid w:val="004A4E70"/>
    <w:rsid w:val="004A7DD9"/>
    <w:rsid w:val="004B054D"/>
    <w:rsid w:val="004B079E"/>
    <w:rsid w:val="004B0FB9"/>
    <w:rsid w:val="004B12AA"/>
    <w:rsid w:val="004B1515"/>
    <w:rsid w:val="004B1EB8"/>
    <w:rsid w:val="004B3C49"/>
    <w:rsid w:val="004B3E7C"/>
    <w:rsid w:val="004B6200"/>
    <w:rsid w:val="004C0B8C"/>
    <w:rsid w:val="004C0C9C"/>
    <w:rsid w:val="004C0FD1"/>
    <w:rsid w:val="004C3C9D"/>
    <w:rsid w:val="004C4CAE"/>
    <w:rsid w:val="004C5092"/>
    <w:rsid w:val="004D4A3D"/>
    <w:rsid w:val="004D5469"/>
    <w:rsid w:val="004E11F0"/>
    <w:rsid w:val="004E23D8"/>
    <w:rsid w:val="004E2BB5"/>
    <w:rsid w:val="004E2F37"/>
    <w:rsid w:val="004E39AA"/>
    <w:rsid w:val="004E5AE7"/>
    <w:rsid w:val="004E6048"/>
    <w:rsid w:val="004E6647"/>
    <w:rsid w:val="004F0CB6"/>
    <w:rsid w:val="004F1014"/>
    <w:rsid w:val="004F7FCF"/>
    <w:rsid w:val="0050036D"/>
    <w:rsid w:val="00501D9E"/>
    <w:rsid w:val="0050294D"/>
    <w:rsid w:val="00506879"/>
    <w:rsid w:val="00506B41"/>
    <w:rsid w:val="00510367"/>
    <w:rsid w:val="00511BAA"/>
    <w:rsid w:val="005120FA"/>
    <w:rsid w:val="00512B4E"/>
    <w:rsid w:val="005132CE"/>
    <w:rsid w:val="00513F62"/>
    <w:rsid w:val="00515448"/>
    <w:rsid w:val="00515B06"/>
    <w:rsid w:val="00516183"/>
    <w:rsid w:val="005266AF"/>
    <w:rsid w:val="00526B59"/>
    <w:rsid w:val="00527BEF"/>
    <w:rsid w:val="005332A0"/>
    <w:rsid w:val="005419C1"/>
    <w:rsid w:val="0054365F"/>
    <w:rsid w:val="005440DA"/>
    <w:rsid w:val="005517B5"/>
    <w:rsid w:val="00552605"/>
    <w:rsid w:val="0055469A"/>
    <w:rsid w:val="00554A1D"/>
    <w:rsid w:val="00555501"/>
    <w:rsid w:val="005569D7"/>
    <w:rsid w:val="00560D19"/>
    <w:rsid w:val="00567AEA"/>
    <w:rsid w:val="005717E7"/>
    <w:rsid w:val="00572B22"/>
    <w:rsid w:val="00573C37"/>
    <w:rsid w:val="00576C16"/>
    <w:rsid w:val="005779C2"/>
    <w:rsid w:val="00577C2E"/>
    <w:rsid w:val="00580131"/>
    <w:rsid w:val="0058058F"/>
    <w:rsid w:val="00580D7D"/>
    <w:rsid w:val="005830A3"/>
    <w:rsid w:val="00585753"/>
    <w:rsid w:val="005872E6"/>
    <w:rsid w:val="005900B4"/>
    <w:rsid w:val="00590232"/>
    <w:rsid w:val="005903B1"/>
    <w:rsid w:val="00590DA3"/>
    <w:rsid w:val="00591D12"/>
    <w:rsid w:val="00592124"/>
    <w:rsid w:val="00594E22"/>
    <w:rsid w:val="00597E82"/>
    <w:rsid w:val="005A0487"/>
    <w:rsid w:val="005A0D01"/>
    <w:rsid w:val="005A3766"/>
    <w:rsid w:val="005A4D93"/>
    <w:rsid w:val="005A51C5"/>
    <w:rsid w:val="005A6A48"/>
    <w:rsid w:val="005A7555"/>
    <w:rsid w:val="005A77FD"/>
    <w:rsid w:val="005B0E95"/>
    <w:rsid w:val="005B5650"/>
    <w:rsid w:val="005B5C91"/>
    <w:rsid w:val="005B5ECD"/>
    <w:rsid w:val="005B7941"/>
    <w:rsid w:val="005C1359"/>
    <w:rsid w:val="005C212B"/>
    <w:rsid w:val="005C224F"/>
    <w:rsid w:val="005C4A5F"/>
    <w:rsid w:val="005C7142"/>
    <w:rsid w:val="005C786F"/>
    <w:rsid w:val="005D0593"/>
    <w:rsid w:val="005D6645"/>
    <w:rsid w:val="005D7D50"/>
    <w:rsid w:val="005D7E24"/>
    <w:rsid w:val="005E2D78"/>
    <w:rsid w:val="005E4F1A"/>
    <w:rsid w:val="005E5CF9"/>
    <w:rsid w:val="005E6593"/>
    <w:rsid w:val="005E78DF"/>
    <w:rsid w:val="005F2F58"/>
    <w:rsid w:val="005F5AFE"/>
    <w:rsid w:val="005F5F7E"/>
    <w:rsid w:val="005F6A2C"/>
    <w:rsid w:val="00601747"/>
    <w:rsid w:val="00601B82"/>
    <w:rsid w:val="006030CC"/>
    <w:rsid w:val="00603553"/>
    <w:rsid w:val="006050A4"/>
    <w:rsid w:val="00605B08"/>
    <w:rsid w:val="006071BB"/>
    <w:rsid w:val="006126AD"/>
    <w:rsid w:val="0061403C"/>
    <w:rsid w:val="006169E4"/>
    <w:rsid w:val="00617DD0"/>
    <w:rsid w:val="006220F3"/>
    <w:rsid w:val="006271EC"/>
    <w:rsid w:val="0062780E"/>
    <w:rsid w:val="006307F2"/>
    <w:rsid w:val="006320D2"/>
    <w:rsid w:val="006364D9"/>
    <w:rsid w:val="0063658C"/>
    <w:rsid w:val="006369BC"/>
    <w:rsid w:val="0063741E"/>
    <w:rsid w:val="00642392"/>
    <w:rsid w:val="006427A9"/>
    <w:rsid w:val="0064314C"/>
    <w:rsid w:val="00643673"/>
    <w:rsid w:val="0064464C"/>
    <w:rsid w:val="00645838"/>
    <w:rsid w:val="006459EC"/>
    <w:rsid w:val="00646DA2"/>
    <w:rsid w:val="00646F44"/>
    <w:rsid w:val="00651E35"/>
    <w:rsid w:val="006535FC"/>
    <w:rsid w:val="00653CDB"/>
    <w:rsid w:val="006541B3"/>
    <w:rsid w:val="006544F7"/>
    <w:rsid w:val="0066046D"/>
    <w:rsid w:val="00664174"/>
    <w:rsid w:val="00676686"/>
    <w:rsid w:val="0068120E"/>
    <w:rsid w:val="006828C1"/>
    <w:rsid w:val="00683580"/>
    <w:rsid w:val="006836C9"/>
    <w:rsid w:val="0068730F"/>
    <w:rsid w:val="00690246"/>
    <w:rsid w:val="006926FA"/>
    <w:rsid w:val="0069665F"/>
    <w:rsid w:val="006A33EE"/>
    <w:rsid w:val="006A6111"/>
    <w:rsid w:val="006A63CF"/>
    <w:rsid w:val="006A7D9D"/>
    <w:rsid w:val="006B0691"/>
    <w:rsid w:val="006B25EC"/>
    <w:rsid w:val="006B363B"/>
    <w:rsid w:val="006B5152"/>
    <w:rsid w:val="006B530F"/>
    <w:rsid w:val="006B5594"/>
    <w:rsid w:val="006B654E"/>
    <w:rsid w:val="006B7147"/>
    <w:rsid w:val="006C074F"/>
    <w:rsid w:val="006C0B3C"/>
    <w:rsid w:val="006C2F30"/>
    <w:rsid w:val="006C3D08"/>
    <w:rsid w:val="006C4743"/>
    <w:rsid w:val="006C47A1"/>
    <w:rsid w:val="006C5714"/>
    <w:rsid w:val="006C71D4"/>
    <w:rsid w:val="006D149F"/>
    <w:rsid w:val="006D1DDB"/>
    <w:rsid w:val="006D2086"/>
    <w:rsid w:val="006D2951"/>
    <w:rsid w:val="006D3554"/>
    <w:rsid w:val="006D4122"/>
    <w:rsid w:val="006D73C0"/>
    <w:rsid w:val="006E33F6"/>
    <w:rsid w:val="006E373A"/>
    <w:rsid w:val="006E5385"/>
    <w:rsid w:val="006E6F40"/>
    <w:rsid w:val="006F7498"/>
    <w:rsid w:val="00700662"/>
    <w:rsid w:val="00703D43"/>
    <w:rsid w:val="0070505A"/>
    <w:rsid w:val="0071067B"/>
    <w:rsid w:val="007110DE"/>
    <w:rsid w:val="00712D87"/>
    <w:rsid w:val="00713565"/>
    <w:rsid w:val="00716293"/>
    <w:rsid w:val="00717501"/>
    <w:rsid w:val="00717FBE"/>
    <w:rsid w:val="007210BC"/>
    <w:rsid w:val="0072280F"/>
    <w:rsid w:val="00726652"/>
    <w:rsid w:val="007277D2"/>
    <w:rsid w:val="00730050"/>
    <w:rsid w:val="007304A0"/>
    <w:rsid w:val="0073088B"/>
    <w:rsid w:val="0073157A"/>
    <w:rsid w:val="00731DA6"/>
    <w:rsid w:val="007332B3"/>
    <w:rsid w:val="00736342"/>
    <w:rsid w:val="00741C18"/>
    <w:rsid w:val="0074219E"/>
    <w:rsid w:val="007425EC"/>
    <w:rsid w:val="007445AB"/>
    <w:rsid w:val="0074691E"/>
    <w:rsid w:val="007473EF"/>
    <w:rsid w:val="00747CEC"/>
    <w:rsid w:val="00750547"/>
    <w:rsid w:val="00750BF0"/>
    <w:rsid w:val="007513E6"/>
    <w:rsid w:val="00752B0D"/>
    <w:rsid w:val="0075396C"/>
    <w:rsid w:val="007546E0"/>
    <w:rsid w:val="00761124"/>
    <w:rsid w:val="00763182"/>
    <w:rsid w:val="00763B6B"/>
    <w:rsid w:val="00765866"/>
    <w:rsid w:val="007662E1"/>
    <w:rsid w:val="007668D5"/>
    <w:rsid w:val="00767437"/>
    <w:rsid w:val="00767582"/>
    <w:rsid w:val="00770CA3"/>
    <w:rsid w:val="00770E3C"/>
    <w:rsid w:val="00771336"/>
    <w:rsid w:val="00771960"/>
    <w:rsid w:val="00771B09"/>
    <w:rsid w:val="00771F68"/>
    <w:rsid w:val="00773FEB"/>
    <w:rsid w:val="007742CB"/>
    <w:rsid w:val="00774922"/>
    <w:rsid w:val="00784174"/>
    <w:rsid w:val="00786E7E"/>
    <w:rsid w:val="007910A1"/>
    <w:rsid w:val="00792E09"/>
    <w:rsid w:val="00793B58"/>
    <w:rsid w:val="0079595A"/>
    <w:rsid w:val="00796C17"/>
    <w:rsid w:val="007A171F"/>
    <w:rsid w:val="007A3568"/>
    <w:rsid w:val="007A43BB"/>
    <w:rsid w:val="007A73AC"/>
    <w:rsid w:val="007B065C"/>
    <w:rsid w:val="007B3772"/>
    <w:rsid w:val="007B7573"/>
    <w:rsid w:val="007B7E74"/>
    <w:rsid w:val="007C0665"/>
    <w:rsid w:val="007C1EC8"/>
    <w:rsid w:val="007C234A"/>
    <w:rsid w:val="007C5622"/>
    <w:rsid w:val="007C6476"/>
    <w:rsid w:val="007D24AA"/>
    <w:rsid w:val="007D3A53"/>
    <w:rsid w:val="007D77F5"/>
    <w:rsid w:val="007E30C2"/>
    <w:rsid w:val="007E3626"/>
    <w:rsid w:val="007E521F"/>
    <w:rsid w:val="007E5511"/>
    <w:rsid w:val="007E6007"/>
    <w:rsid w:val="007E640A"/>
    <w:rsid w:val="007E7CB9"/>
    <w:rsid w:val="007E7CF1"/>
    <w:rsid w:val="007F31A3"/>
    <w:rsid w:val="007F382B"/>
    <w:rsid w:val="007F4BC7"/>
    <w:rsid w:val="007F4DC0"/>
    <w:rsid w:val="007F5B39"/>
    <w:rsid w:val="007F634A"/>
    <w:rsid w:val="007F7D19"/>
    <w:rsid w:val="0080631B"/>
    <w:rsid w:val="0080791C"/>
    <w:rsid w:val="00807B8E"/>
    <w:rsid w:val="0081023F"/>
    <w:rsid w:val="008113E1"/>
    <w:rsid w:val="00812666"/>
    <w:rsid w:val="00816CBD"/>
    <w:rsid w:val="00816DDA"/>
    <w:rsid w:val="00821AC1"/>
    <w:rsid w:val="00823440"/>
    <w:rsid w:val="00824352"/>
    <w:rsid w:val="00825C01"/>
    <w:rsid w:val="0082664B"/>
    <w:rsid w:val="0082695A"/>
    <w:rsid w:val="00827089"/>
    <w:rsid w:val="0082763B"/>
    <w:rsid w:val="008317F0"/>
    <w:rsid w:val="008337B5"/>
    <w:rsid w:val="00833B2D"/>
    <w:rsid w:val="00835A8C"/>
    <w:rsid w:val="00837665"/>
    <w:rsid w:val="0084095D"/>
    <w:rsid w:val="00840B94"/>
    <w:rsid w:val="00842CBD"/>
    <w:rsid w:val="008436D8"/>
    <w:rsid w:val="0084493B"/>
    <w:rsid w:val="00847450"/>
    <w:rsid w:val="008507B7"/>
    <w:rsid w:val="00850EF3"/>
    <w:rsid w:val="00852133"/>
    <w:rsid w:val="008545DB"/>
    <w:rsid w:val="00854B0E"/>
    <w:rsid w:val="008561C4"/>
    <w:rsid w:val="00860076"/>
    <w:rsid w:val="00861175"/>
    <w:rsid w:val="0086218C"/>
    <w:rsid w:val="008624FA"/>
    <w:rsid w:val="00864100"/>
    <w:rsid w:val="008644D5"/>
    <w:rsid w:val="00864FFA"/>
    <w:rsid w:val="008653DE"/>
    <w:rsid w:val="008676E1"/>
    <w:rsid w:val="00871063"/>
    <w:rsid w:val="008717A4"/>
    <w:rsid w:val="00871B84"/>
    <w:rsid w:val="00873E2D"/>
    <w:rsid w:val="008743A7"/>
    <w:rsid w:val="00874EE6"/>
    <w:rsid w:val="008753FC"/>
    <w:rsid w:val="00875EBF"/>
    <w:rsid w:val="00881512"/>
    <w:rsid w:val="0088189B"/>
    <w:rsid w:val="008825A5"/>
    <w:rsid w:val="00883D2B"/>
    <w:rsid w:val="008848A5"/>
    <w:rsid w:val="008923C1"/>
    <w:rsid w:val="00892C4E"/>
    <w:rsid w:val="00894FC5"/>
    <w:rsid w:val="00895788"/>
    <w:rsid w:val="00896982"/>
    <w:rsid w:val="00896F83"/>
    <w:rsid w:val="00897B36"/>
    <w:rsid w:val="008A07B0"/>
    <w:rsid w:val="008A1929"/>
    <w:rsid w:val="008A22BB"/>
    <w:rsid w:val="008A4437"/>
    <w:rsid w:val="008A50C7"/>
    <w:rsid w:val="008B123E"/>
    <w:rsid w:val="008B1A7A"/>
    <w:rsid w:val="008B2CA7"/>
    <w:rsid w:val="008B3E71"/>
    <w:rsid w:val="008B4853"/>
    <w:rsid w:val="008C0911"/>
    <w:rsid w:val="008C09A5"/>
    <w:rsid w:val="008C1D99"/>
    <w:rsid w:val="008C2442"/>
    <w:rsid w:val="008C2705"/>
    <w:rsid w:val="008C3099"/>
    <w:rsid w:val="008C38B9"/>
    <w:rsid w:val="008C4E07"/>
    <w:rsid w:val="008C5430"/>
    <w:rsid w:val="008C7BA4"/>
    <w:rsid w:val="008D14B5"/>
    <w:rsid w:val="008D23B0"/>
    <w:rsid w:val="008D29BF"/>
    <w:rsid w:val="008D31C5"/>
    <w:rsid w:val="008D4298"/>
    <w:rsid w:val="008D605A"/>
    <w:rsid w:val="008E0361"/>
    <w:rsid w:val="008E0687"/>
    <w:rsid w:val="008E09F6"/>
    <w:rsid w:val="008E10A9"/>
    <w:rsid w:val="008E1F3B"/>
    <w:rsid w:val="008E200C"/>
    <w:rsid w:val="008E40C1"/>
    <w:rsid w:val="008E4D31"/>
    <w:rsid w:val="008E6CCF"/>
    <w:rsid w:val="008E7325"/>
    <w:rsid w:val="008E75C6"/>
    <w:rsid w:val="008F1D33"/>
    <w:rsid w:val="008F2B1B"/>
    <w:rsid w:val="008F2EE3"/>
    <w:rsid w:val="008F7DCC"/>
    <w:rsid w:val="00900447"/>
    <w:rsid w:val="009015CB"/>
    <w:rsid w:val="00901FCC"/>
    <w:rsid w:val="00902B0E"/>
    <w:rsid w:val="00902C95"/>
    <w:rsid w:val="009034FD"/>
    <w:rsid w:val="00905575"/>
    <w:rsid w:val="00905A8F"/>
    <w:rsid w:val="0090636C"/>
    <w:rsid w:val="00906B97"/>
    <w:rsid w:val="009073A5"/>
    <w:rsid w:val="00910DD4"/>
    <w:rsid w:val="009111C8"/>
    <w:rsid w:val="009128B5"/>
    <w:rsid w:val="00913719"/>
    <w:rsid w:val="009138D7"/>
    <w:rsid w:val="0091435F"/>
    <w:rsid w:val="009164CB"/>
    <w:rsid w:val="009167B0"/>
    <w:rsid w:val="009176E6"/>
    <w:rsid w:val="009202F3"/>
    <w:rsid w:val="0092201B"/>
    <w:rsid w:val="00922FEE"/>
    <w:rsid w:val="009231A1"/>
    <w:rsid w:val="00924A62"/>
    <w:rsid w:val="0092536E"/>
    <w:rsid w:val="00925D96"/>
    <w:rsid w:val="00931F75"/>
    <w:rsid w:val="00932976"/>
    <w:rsid w:val="00933CBF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064"/>
    <w:rsid w:val="009472C4"/>
    <w:rsid w:val="009473DA"/>
    <w:rsid w:val="00950D33"/>
    <w:rsid w:val="00951011"/>
    <w:rsid w:val="009537EB"/>
    <w:rsid w:val="009551B7"/>
    <w:rsid w:val="009561F0"/>
    <w:rsid w:val="009618E9"/>
    <w:rsid w:val="00961CF5"/>
    <w:rsid w:val="009633C2"/>
    <w:rsid w:val="00970A70"/>
    <w:rsid w:val="00971903"/>
    <w:rsid w:val="00972706"/>
    <w:rsid w:val="00975D64"/>
    <w:rsid w:val="009768EC"/>
    <w:rsid w:val="009770E9"/>
    <w:rsid w:val="0097786A"/>
    <w:rsid w:val="009807E1"/>
    <w:rsid w:val="009825E2"/>
    <w:rsid w:val="009842C8"/>
    <w:rsid w:val="009856FA"/>
    <w:rsid w:val="009863C4"/>
    <w:rsid w:val="00987787"/>
    <w:rsid w:val="00990518"/>
    <w:rsid w:val="00991118"/>
    <w:rsid w:val="009913AD"/>
    <w:rsid w:val="009918C7"/>
    <w:rsid w:val="009925AF"/>
    <w:rsid w:val="00996F6A"/>
    <w:rsid w:val="00997939"/>
    <w:rsid w:val="009A0CDB"/>
    <w:rsid w:val="009A0F63"/>
    <w:rsid w:val="009A2300"/>
    <w:rsid w:val="009A2AD5"/>
    <w:rsid w:val="009A3359"/>
    <w:rsid w:val="009A51F9"/>
    <w:rsid w:val="009A61C7"/>
    <w:rsid w:val="009B1C0A"/>
    <w:rsid w:val="009B21FF"/>
    <w:rsid w:val="009B3ED3"/>
    <w:rsid w:val="009B4840"/>
    <w:rsid w:val="009B6D7E"/>
    <w:rsid w:val="009B6DC6"/>
    <w:rsid w:val="009B7F51"/>
    <w:rsid w:val="009C3C0E"/>
    <w:rsid w:val="009C4B5D"/>
    <w:rsid w:val="009C5104"/>
    <w:rsid w:val="009C72BC"/>
    <w:rsid w:val="009D001D"/>
    <w:rsid w:val="009D0409"/>
    <w:rsid w:val="009D62EB"/>
    <w:rsid w:val="009D62FA"/>
    <w:rsid w:val="009D7548"/>
    <w:rsid w:val="009D76C7"/>
    <w:rsid w:val="009E1A83"/>
    <w:rsid w:val="009E2A41"/>
    <w:rsid w:val="009E2D52"/>
    <w:rsid w:val="009E3C8D"/>
    <w:rsid w:val="009F2DEE"/>
    <w:rsid w:val="009F52A6"/>
    <w:rsid w:val="009F5AB7"/>
    <w:rsid w:val="009F6DB1"/>
    <w:rsid w:val="009F794A"/>
    <w:rsid w:val="00A018F3"/>
    <w:rsid w:val="00A02E88"/>
    <w:rsid w:val="00A03247"/>
    <w:rsid w:val="00A057E9"/>
    <w:rsid w:val="00A06A08"/>
    <w:rsid w:val="00A0775B"/>
    <w:rsid w:val="00A1089A"/>
    <w:rsid w:val="00A10F50"/>
    <w:rsid w:val="00A11480"/>
    <w:rsid w:val="00A131B7"/>
    <w:rsid w:val="00A136DF"/>
    <w:rsid w:val="00A17D96"/>
    <w:rsid w:val="00A21315"/>
    <w:rsid w:val="00A2154E"/>
    <w:rsid w:val="00A24AD6"/>
    <w:rsid w:val="00A2705C"/>
    <w:rsid w:val="00A30E69"/>
    <w:rsid w:val="00A33916"/>
    <w:rsid w:val="00A350BB"/>
    <w:rsid w:val="00A371ED"/>
    <w:rsid w:val="00A373E1"/>
    <w:rsid w:val="00A406A1"/>
    <w:rsid w:val="00A51020"/>
    <w:rsid w:val="00A51521"/>
    <w:rsid w:val="00A570A5"/>
    <w:rsid w:val="00A6010A"/>
    <w:rsid w:val="00A6283F"/>
    <w:rsid w:val="00A62B7D"/>
    <w:rsid w:val="00A67184"/>
    <w:rsid w:val="00A67427"/>
    <w:rsid w:val="00A7134D"/>
    <w:rsid w:val="00A71EE9"/>
    <w:rsid w:val="00A71F1B"/>
    <w:rsid w:val="00A74DF9"/>
    <w:rsid w:val="00A76F66"/>
    <w:rsid w:val="00A77D0C"/>
    <w:rsid w:val="00A811E1"/>
    <w:rsid w:val="00A81424"/>
    <w:rsid w:val="00A83D33"/>
    <w:rsid w:val="00A84176"/>
    <w:rsid w:val="00A861D0"/>
    <w:rsid w:val="00A92BC0"/>
    <w:rsid w:val="00A92C4A"/>
    <w:rsid w:val="00A93F74"/>
    <w:rsid w:val="00A969FC"/>
    <w:rsid w:val="00A97A3D"/>
    <w:rsid w:val="00AA0EC4"/>
    <w:rsid w:val="00AA48E1"/>
    <w:rsid w:val="00AA7FD7"/>
    <w:rsid w:val="00AB001A"/>
    <w:rsid w:val="00AB0DE1"/>
    <w:rsid w:val="00AB1911"/>
    <w:rsid w:val="00AB19A6"/>
    <w:rsid w:val="00AB1C6E"/>
    <w:rsid w:val="00AB3A16"/>
    <w:rsid w:val="00AB6CE6"/>
    <w:rsid w:val="00AB6E24"/>
    <w:rsid w:val="00AC08E2"/>
    <w:rsid w:val="00AC2172"/>
    <w:rsid w:val="00AC4933"/>
    <w:rsid w:val="00AC750B"/>
    <w:rsid w:val="00AD0846"/>
    <w:rsid w:val="00AD2AC9"/>
    <w:rsid w:val="00AD4EC4"/>
    <w:rsid w:val="00AD5B6A"/>
    <w:rsid w:val="00AD6F4D"/>
    <w:rsid w:val="00AD75A9"/>
    <w:rsid w:val="00AE0D49"/>
    <w:rsid w:val="00AE260C"/>
    <w:rsid w:val="00AE4520"/>
    <w:rsid w:val="00AE7CB1"/>
    <w:rsid w:val="00AF0F77"/>
    <w:rsid w:val="00AF2A90"/>
    <w:rsid w:val="00AF410F"/>
    <w:rsid w:val="00AF5498"/>
    <w:rsid w:val="00AF6E5B"/>
    <w:rsid w:val="00B001AC"/>
    <w:rsid w:val="00B00382"/>
    <w:rsid w:val="00B02E97"/>
    <w:rsid w:val="00B04E4B"/>
    <w:rsid w:val="00B04E5E"/>
    <w:rsid w:val="00B10FBC"/>
    <w:rsid w:val="00B120B7"/>
    <w:rsid w:val="00B1274F"/>
    <w:rsid w:val="00B1305D"/>
    <w:rsid w:val="00B165C5"/>
    <w:rsid w:val="00B16BD4"/>
    <w:rsid w:val="00B228D6"/>
    <w:rsid w:val="00B22F01"/>
    <w:rsid w:val="00B22F1A"/>
    <w:rsid w:val="00B23ADD"/>
    <w:rsid w:val="00B246B4"/>
    <w:rsid w:val="00B25DA9"/>
    <w:rsid w:val="00B27CD5"/>
    <w:rsid w:val="00B30111"/>
    <w:rsid w:val="00B312C3"/>
    <w:rsid w:val="00B42CB0"/>
    <w:rsid w:val="00B431FA"/>
    <w:rsid w:val="00B4400C"/>
    <w:rsid w:val="00B4701E"/>
    <w:rsid w:val="00B5190C"/>
    <w:rsid w:val="00B5467B"/>
    <w:rsid w:val="00B565A4"/>
    <w:rsid w:val="00B60182"/>
    <w:rsid w:val="00B6044A"/>
    <w:rsid w:val="00B639D0"/>
    <w:rsid w:val="00B63DEA"/>
    <w:rsid w:val="00B66DED"/>
    <w:rsid w:val="00B67447"/>
    <w:rsid w:val="00B70E8C"/>
    <w:rsid w:val="00B734FA"/>
    <w:rsid w:val="00B7456A"/>
    <w:rsid w:val="00B74F7A"/>
    <w:rsid w:val="00B75AD2"/>
    <w:rsid w:val="00B76874"/>
    <w:rsid w:val="00B76FDB"/>
    <w:rsid w:val="00B81BE8"/>
    <w:rsid w:val="00B8212B"/>
    <w:rsid w:val="00B82D8D"/>
    <w:rsid w:val="00B8428E"/>
    <w:rsid w:val="00B844F4"/>
    <w:rsid w:val="00B84D09"/>
    <w:rsid w:val="00B8542E"/>
    <w:rsid w:val="00B85539"/>
    <w:rsid w:val="00B86267"/>
    <w:rsid w:val="00B873D9"/>
    <w:rsid w:val="00B94AB7"/>
    <w:rsid w:val="00B94CA2"/>
    <w:rsid w:val="00B95C96"/>
    <w:rsid w:val="00B96080"/>
    <w:rsid w:val="00B9612C"/>
    <w:rsid w:val="00BA3215"/>
    <w:rsid w:val="00BA42EC"/>
    <w:rsid w:val="00BA4320"/>
    <w:rsid w:val="00BA4ED1"/>
    <w:rsid w:val="00BA522E"/>
    <w:rsid w:val="00BA6306"/>
    <w:rsid w:val="00BA6753"/>
    <w:rsid w:val="00BA6FE3"/>
    <w:rsid w:val="00BB0D40"/>
    <w:rsid w:val="00BB27B6"/>
    <w:rsid w:val="00BB31AD"/>
    <w:rsid w:val="00BB57D0"/>
    <w:rsid w:val="00BB77E5"/>
    <w:rsid w:val="00BB7B20"/>
    <w:rsid w:val="00BB7C28"/>
    <w:rsid w:val="00BC061D"/>
    <w:rsid w:val="00BC331E"/>
    <w:rsid w:val="00BC533D"/>
    <w:rsid w:val="00BC5936"/>
    <w:rsid w:val="00BC7897"/>
    <w:rsid w:val="00BD1F5E"/>
    <w:rsid w:val="00BD1FB6"/>
    <w:rsid w:val="00BD29CD"/>
    <w:rsid w:val="00BD29E2"/>
    <w:rsid w:val="00BD3A39"/>
    <w:rsid w:val="00BD59FD"/>
    <w:rsid w:val="00BD5F01"/>
    <w:rsid w:val="00BD7FF2"/>
    <w:rsid w:val="00BE0681"/>
    <w:rsid w:val="00BE20C2"/>
    <w:rsid w:val="00BE21E6"/>
    <w:rsid w:val="00BE4499"/>
    <w:rsid w:val="00BE4AE1"/>
    <w:rsid w:val="00BE6BF3"/>
    <w:rsid w:val="00BE7ED1"/>
    <w:rsid w:val="00BF11CD"/>
    <w:rsid w:val="00BF5990"/>
    <w:rsid w:val="00BF59D0"/>
    <w:rsid w:val="00C002A1"/>
    <w:rsid w:val="00C01B17"/>
    <w:rsid w:val="00C01BCA"/>
    <w:rsid w:val="00C02258"/>
    <w:rsid w:val="00C0318B"/>
    <w:rsid w:val="00C03C13"/>
    <w:rsid w:val="00C048CA"/>
    <w:rsid w:val="00C048F1"/>
    <w:rsid w:val="00C06402"/>
    <w:rsid w:val="00C075E2"/>
    <w:rsid w:val="00C136A7"/>
    <w:rsid w:val="00C13B6B"/>
    <w:rsid w:val="00C17433"/>
    <w:rsid w:val="00C17AAB"/>
    <w:rsid w:val="00C26796"/>
    <w:rsid w:val="00C322E0"/>
    <w:rsid w:val="00C32B93"/>
    <w:rsid w:val="00C333B6"/>
    <w:rsid w:val="00C346C8"/>
    <w:rsid w:val="00C37616"/>
    <w:rsid w:val="00C37B59"/>
    <w:rsid w:val="00C41312"/>
    <w:rsid w:val="00C444CF"/>
    <w:rsid w:val="00C4493B"/>
    <w:rsid w:val="00C45946"/>
    <w:rsid w:val="00C477B6"/>
    <w:rsid w:val="00C503D8"/>
    <w:rsid w:val="00C50C85"/>
    <w:rsid w:val="00C50D8C"/>
    <w:rsid w:val="00C5127A"/>
    <w:rsid w:val="00C51302"/>
    <w:rsid w:val="00C54D7F"/>
    <w:rsid w:val="00C6139F"/>
    <w:rsid w:val="00C62359"/>
    <w:rsid w:val="00C625A8"/>
    <w:rsid w:val="00C6270C"/>
    <w:rsid w:val="00C6510B"/>
    <w:rsid w:val="00C7019D"/>
    <w:rsid w:val="00C70B29"/>
    <w:rsid w:val="00C70CCC"/>
    <w:rsid w:val="00C71448"/>
    <w:rsid w:val="00C716BC"/>
    <w:rsid w:val="00C71F1E"/>
    <w:rsid w:val="00C73350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415"/>
    <w:rsid w:val="00C90EB0"/>
    <w:rsid w:val="00C91AFA"/>
    <w:rsid w:val="00C9266B"/>
    <w:rsid w:val="00C927DC"/>
    <w:rsid w:val="00C96BA1"/>
    <w:rsid w:val="00C96D53"/>
    <w:rsid w:val="00C9724C"/>
    <w:rsid w:val="00CA2910"/>
    <w:rsid w:val="00CA3768"/>
    <w:rsid w:val="00CA570B"/>
    <w:rsid w:val="00CA59DE"/>
    <w:rsid w:val="00CA63C9"/>
    <w:rsid w:val="00CA7460"/>
    <w:rsid w:val="00CA7779"/>
    <w:rsid w:val="00CA7E07"/>
    <w:rsid w:val="00CB48CA"/>
    <w:rsid w:val="00CB4FB3"/>
    <w:rsid w:val="00CB5308"/>
    <w:rsid w:val="00CB7A9E"/>
    <w:rsid w:val="00CC45BE"/>
    <w:rsid w:val="00CC4A04"/>
    <w:rsid w:val="00CC4AAC"/>
    <w:rsid w:val="00CC56EF"/>
    <w:rsid w:val="00CC578F"/>
    <w:rsid w:val="00CC7177"/>
    <w:rsid w:val="00CC7804"/>
    <w:rsid w:val="00CD10FF"/>
    <w:rsid w:val="00CD132D"/>
    <w:rsid w:val="00CD2E08"/>
    <w:rsid w:val="00CD4C8B"/>
    <w:rsid w:val="00CD7067"/>
    <w:rsid w:val="00CD777E"/>
    <w:rsid w:val="00CD7DCD"/>
    <w:rsid w:val="00CE035F"/>
    <w:rsid w:val="00CE220C"/>
    <w:rsid w:val="00CE254F"/>
    <w:rsid w:val="00CE32FB"/>
    <w:rsid w:val="00CE5C9F"/>
    <w:rsid w:val="00CE6627"/>
    <w:rsid w:val="00CE6D2D"/>
    <w:rsid w:val="00CE7A2D"/>
    <w:rsid w:val="00CF171D"/>
    <w:rsid w:val="00CF1989"/>
    <w:rsid w:val="00CF6AEA"/>
    <w:rsid w:val="00D02234"/>
    <w:rsid w:val="00D0268F"/>
    <w:rsid w:val="00D03B66"/>
    <w:rsid w:val="00D123C5"/>
    <w:rsid w:val="00D12789"/>
    <w:rsid w:val="00D13E32"/>
    <w:rsid w:val="00D1664E"/>
    <w:rsid w:val="00D17225"/>
    <w:rsid w:val="00D21833"/>
    <w:rsid w:val="00D21BF9"/>
    <w:rsid w:val="00D22987"/>
    <w:rsid w:val="00D22E1A"/>
    <w:rsid w:val="00D2375D"/>
    <w:rsid w:val="00D239D0"/>
    <w:rsid w:val="00D24C86"/>
    <w:rsid w:val="00D24E07"/>
    <w:rsid w:val="00D26B55"/>
    <w:rsid w:val="00D27F04"/>
    <w:rsid w:val="00D33FE0"/>
    <w:rsid w:val="00D3444A"/>
    <w:rsid w:val="00D365BD"/>
    <w:rsid w:val="00D40E24"/>
    <w:rsid w:val="00D42694"/>
    <w:rsid w:val="00D42DD5"/>
    <w:rsid w:val="00D460ED"/>
    <w:rsid w:val="00D47063"/>
    <w:rsid w:val="00D50A2E"/>
    <w:rsid w:val="00D52D1B"/>
    <w:rsid w:val="00D53208"/>
    <w:rsid w:val="00D541B2"/>
    <w:rsid w:val="00D5485F"/>
    <w:rsid w:val="00D54A77"/>
    <w:rsid w:val="00D54F03"/>
    <w:rsid w:val="00D55B43"/>
    <w:rsid w:val="00D56B7F"/>
    <w:rsid w:val="00D60235"/>
    <w:rsid w:val="00D6072A"/>
    <w:rsid w:val="00D64039"/>
    <w:rsid w:val="00D6479B"/>
    <w:rsid w:val="00D671CF"/>
    <w:rsid w:val="00D70186"/>
    <w:rsid w:val="00D70193"/>
    <w:rsid w:val="00D7350E"/>
    <w:rsid w:val="00D75BEB"/>
    <w:rsid w:val="00D76C29"/>
    <w:rsid w:val="00D7713C"/>
    <w:rsid w:val="00D803E7"/>
    <w:rsid w:val="00D80E43"/>
    <w:rsid w:val="00D90C76"/>
    <w:rsid w:val="00D91E0A"/>
    <w:rsid w:val="00D91F2A"/>
    <w:rsid w:val="00D9214E"/>
    <w:rsid w:val="00D92FA2"/>
    <w:rsid w:val="00D9574B"/>
    <w:rsid w:val="00D95973"/>
    <w:rsid w:val="00D96C0E"/>
    <w:rsid w:val="00DA098B"/>
    <w:rsid w:val="00DA2B42"/>
    <w:rsid w:val="00DA3569"/>
    <w:rsid w:val="00DA42B9"/>
    <w:rsid w:val="00DA4D72"/>
    <w:rsid w:val="00DA4DA2"/>
    <w:rsid w:val="00DA6CCD"/>
    <w:rsid w:val="00DA7A4E"/>
    <w:rsid w:val="00DA7D3C"/>
    <w:rsid w:val="00DB39AA"/>
    <w:rsid w:val="00DB3B3A"/>
    <w:rsid w:val="00DB3E6C"/>
    <w:rsid w:val="00DB47CF"/>
    <w:rsid w:val="00DB5D37"/>
    <w:rsid w:val="00DB6AF3"/>
    <w:rsid w:val="00DB7269"/>
    <w:rsid w:val="00DC0142"/>
    <w:rsid w:val="00DC06AC"/>
    <w:rsid w:val="00DC1583"/>
    <w:rsid w:val="00DC3BF6"/>
    <w:rsid w:val="00DC543A"/>
    <w:rsid w:val="00DC6579"/>
    <w:rsid w:val="00DC65F8"/>
    <w:rsid w:val="00DC7474"/>
    <w:rsid w:val="00DD24FE"/>
    <w:rsid w:val="00DD533C"/>
    <w:rsid w:val="00DD580E"/>
    <w:rsid w:val="00DD6A62"/>
    <w:rsid w:val="00DE19A1"/>
    <w:rsid w:val="00DE2FE0"/>
    <w:rsid w:val="00DE39F4"/>
    <w:rsid w:val="00DE7F46"/>
    <w:rsid w:val="00DF06EB"/>
    <w:rsid w:val="00DF3062"/>
    <w:rsid w:val="00DF3F22"/>
    <w:rsid w:val="00DF6ABB"/>
    <w:rsid w:val="00DF6E00"/>
    <w:rsid w:val="00E02C6F"/>
    <w:rsid w:val="00E036E5"/>
    <w:rsid w:val="00E03ACA"/>
    <w:rsid w:val="00E04217"/>
    <w:rsid w:val="00E04B93"/>
    <w:rsid w:val="00E077C4"/>
    <w:rsid w:val="00E07F2C"/>
    <w:rsid w:val="00E10289"/>
    <w:rsid w:val="00E12C3D"/>
    <w:rsid w:val="00E130C4"/>
    <w:rsid w:val="00E15CB7"/>
    <w:rsid w:val="00E16E06"/>
    <w:rsid w:val="00E17B1C"/>
    <w:rsid w:val="00E21F30"/>
    <w:rsid w:val="00E23101"/>
    <w:rsid w:val="00E2381C"/>
    <w:rsid w:val="00E256B0"/>
    <w:rsid w:val="00E31A01"/>
    <w:rsid w:val="00E32B4F"/>
    <w:rsid w:val="00E335B0"/>
    <w:rsid w:val="00E36836"/>
    <w:rsid w:val="00E405C3"/>
    <w:rsid w:val="00E40976"/>
    <w:rsid w:val="00E41D7A"/>
    <w:rsid w:val="00E42BCB"/>
    <w:rsid w:val="00E43FD2"/>
    <w:rsid w:val="00E441D1"/>
    <w:rsid w:val="00E441ED"/>
    <w:rsid w:val="00E4517C"/>
    <w:rsid w:val="00E525B5"/>
    <w:rsid w:val="00E53DD9"/>
    <w:rsid w:val="00E549A6"/>
    <w:rsid w:val="00E554BA"/>
    <w:rsid w:val="00E5573F"/>
    <w:rsid w:val="00E607F7"/>
    <w:rsid w:val="00E61010"/>
    <w:rsid w:val="00E61160"/>
    <w:rsid w:val="00E62944"/>
    <w:rsid w:val="00E65CD7"/>
    <w:rsid w:val="00E67DEA"/>
    <w:rsid w:val="00E67F89"/>
    <w:rsid w:val="00E73D70"/>
    <w:rsid w:val="00E73EF8"/>
    <w:rsid w:val="00E74BC0"/>
    <w:rsid w:val="00E77BF0"/>
    <w:rsid w:val="00E81218"/>
    <w:rsid w:val="00E85A8B"/>
    <w:rsid w:val="00E87843"/>
    <w:rsid w:val="00E900B4"/>
    <w:rsid w:val="00E9066A"/>
    <w:rsid w:val="00E9749F"/>
    <w:rsid w:val="00E97DA7"/>
    <w:rsid w:val="00EA0258"/>
    <w:rsid w:val="00EA141D"/>
    <w:rsid w:val="00EA3622"/>
    <w:rsid w:val="00EA4EAC"/>
    <w:rsid w:val="00EB36A7"/>
    <w:rsid w:val="00EB5491"/>
    <w:rsid w:val="00EB550E"/>
    <w:rsid w:val="00EB6402"/>
    <w:rsid w:val="00EB711D"/>
    <w:rsid w:val="00EC303F"/>
    <w:rsid w:val="00EC3CF6"/>
    <w:rsid w:val="00EC4239"/>
    <w:rsid w:val="00EC47E8"/>
    <w:rsid w:val="00EC4ED9"/>
    <w:rsid w:val="00EC5ADC"/>
    <w:rsid w:val="00EC5B5E"/>
    <w:rsid w:val="00ED2398"/>
    <w:rsid w:val="00ED25BA"/>
    <w:rsid w:val="00ED2DBB"/>
    <w:rsid w:val="00ED5DD2"/>
    <w:rsid w:val="00ED6CAB"/>
    <w:rsid w:val="00EE02C9"/>
    <w:rsid w:val="00EE097A"/>
    <w:rsid w:val="00EE187C"/>
    <w:rsid w:val="00EE32AD"/>
    <w:rsid w:val="00EE3B58"/>
    <w:rsid w:val="00EE582D"/>
    <w:rsid w:val="00EE6ACF"/>
    <w:rsid w:val="00EE6D70"/>
    <w:rsid w:val="00EE7608"/>
    <w:rsid w:val="00EE7CD9"/>
    <w:rsid w:val="00EF2D45"/>
    <w:rsid w:val="00EF3407"/>
    <w:rsid w:val="00EF7186"/>
    <w:rsid w:val="00F00216"/>
    <w:rsid w:val="00F01CC8"/>
    <w:rsid w:val="00F03100"/>
    <w:rsid w:val="00F04BFB"/>
    <w:rsid w:val="00F05DDB"/>
    <w:rsid w:val="00F073C7"/>
    <w:rsid w:val="00F079C2"/>
    <w:rsid w:val="00F07A5F"/>
    <w:rsid w:val="00F11378"/>
    <w:rsid w:val="00F12432"/>
    <w:rsid w:val="00F12A1E"/>
    <w:rsid w:val="00F13603"/>
    <w:rsid w:val="00F141E3"/>
    <w:rsid w:val="00F14483"/>
    <w:rsid w:val="00F1472D"/>
    <w:rsid w:val="00F1580F"/>
    <w:rsid w:val="00F15BA1"/>
    <w:rsid w:val="00F1697A"/>
    <w:rsid w:val="00F200D1"/>
    <w:rsid w:val="00F214BA"/>
    <w:rsid w:val="00F227CB"/>
    <w:rsid w:val="00F24718"/>
    <w:rsid w:val="00F272EB"/>
    <w:rsid w:val="00F31AB6"/>
    <w:rsid w:val="00F355F3"/>
    <w:rsid w:val="00F3612D"/>
    <w:rsid w:val="00F452C9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5C40"/>
    <w:rsid w:val="00F679FD"/>
    <w:rsid w:val="00F67F0D"/>
    <w:rsid w:val="00F7048C"/>
    <w:rsid w:val="00F71316"/>
    <w:rsid w:val="00F71EE8"/>
    <w:rsid w:val="00F75217"/>
    <w:rsid w:val="00F75B18"/>
    <w:rsid w:val="00F75B4C"/>
    <w:rsid w:val="00F75BDA"/>
    <w:rsid w:val="00F76CF7"/>
    <w:rsid w:val="00F7784A"/>
    <w:rsid w:val="00F820C7"/>
    <w:rsid w:val="00F835AD"/>
    <w:rsid w:val="00F83A05"/>
    <w:rsid w:val="00F848D9"/>
    <w:rsid w:val="00F860B4"/>
    <w:rsid w:val="00F8692E"/>
    <w:rsid w:val="00F87201"/>
    <w:rsid w:val="00F873C2"/>
    <w:rsid w:val="00F93456"/>
    <w:rsid w:val="00F94231"/>
    <w:rsid w:val="00F95D08"/>
    <w:rsid w:val="00FA5607"/>
    <w:rsid w:val="00FA6385"/>
    <w:rsid w:val="00FA69C6"/>
    <w:rsid w:val="00FA7400"/>
    <w:rsid w:val="00FA75EA"/>
    <w:rsid w:val="00FA7D72"/>
    <w:rsid w:val="00FB10E8"/>
    <w:rsid w:val="00FB44F5"/>
    <w:rsid w:val="00FB5F61"/>
    <w:rsid w:val="00FB7D43"/>
    <w:rsid w:val="00FC2046"/>
    <w:rsid w:val="00FC297E"/>
    <w:rsid w:val="00FC2A95"/>
    <w:rsid w:val="00FC740A"/>
    <w:rsid w:val="00FC7B3D"/>
    <w:rsid w:val="00FD0D8A"/>
    <w:rsid w:val="00FD1698"/>
    <w:rsid w:val="00FD2B65"/>
    <w:rsid w:val="00FD304D"/>
    <w:rsid w:val="00FD401E"/>
    <w:rsid w:val="00FD4410"/>
    <w:rsid w:val="00FD4CA0"/>
    <w:rsid w:val="00FD6EFC"/>
    <w:rsid w:val="00FD751F"/>
    <w:rsid w:val="00FE14CC"/>
    <w:rsid w:val="00FE1ACE"/>
    <w:rsid w:val="00FE306D"/>
    <w:rsid w:val="00FE3357"/>
    <w:rsid w:val="00FE4EF6"/>
    <w:rsid w:val="00FE681C"/>
    <w:rsid w:val="00FF1A36"/>
    <w:rsid w:val="00FF1A4D"/>
    <w:rsid w:val="00FF5B66"/>
    <w:rsid w:val="00FF67C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63A4"/>
  <w15:docId w15:val="{61C325EA-94FE-4A07-8A7C-6A23F00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uiPriority w:val="9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uiPriority w:val="9"/>
    <w:rsid w:val="00B844F4"/>
    <w:rPr>
      <w:sz w:val="28"/>
    </w:rPr>
  </w:style>
  <w:style w:type="character" w:customStyle="1" w:styleId="Titolo6Carattere">
    <w:name w:val="Titolo 6 Carattere"/>
    <w:link w:val="Titolo6"/>
    <w:uiPriority w:val="9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uiPriority w:val="1"/>
    <w:qFormat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link w:val="TitoloCarattere"/>
    <w:uiPriority w:val="10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stile 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aliases w:val="Footnote symbol,Voetnootverwijzing,Rimando nota a piè di pagina1"/>
    <w:uiPriority w:val="99"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uiPriority w:val="35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link w:val="FonteCarattere"/>
    <w:qFormat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uiPriority w:val="39"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aliases w:val="Elenco puntato"/>
    <w:basedOn w:val="Normale"/>
    <w:link w:val="ParagrafoelencoCaratter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stile 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452C9"/>
  </w:style>
  <w:style w:type="character" w:customStyle="1" w:styleId="Titolo1Carattere">
    <w:name w:val="Titolo 1 Carattere"/>
    <w:aliases w:val="Titolo capitolo Carattere"/>
    <w:basedOn w:val="Carpredefinitoparagrafo"/>
    <w:link w:val="Titolo1"/>
    <w:uiPriority w:val="9"/>
    <w:rsid w:val="00F452C9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2C9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2C9"/>
    <w:rPr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52C9"/>
    <w:rPr>
      <w:rFonts w:ascii="Arial" w:hAnsi="Arial"/>
      <w:b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52C9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52C9"/>
    <w:rPr>
      <w:rFonts w:ascii="Arial" w:hAnsi="Arial"/>
      <w:b/>
      <w:snapToGrid w:val="0"/>
      <w:sz w:val="32"/>
    </w:rPr>
  </w:style>
  <w:style w:type="character" w:customStyle="1" w:styleId="ParagrafoelencoCarattere">
    <w:name w:val="Paragrafo elenco Carattere"/>
    <w:aliases w:val="Elenco puntato Carattere"/>
    <w:basedOn w:val="Carpredefinitoparagrafo"/>
    <w:link w:val="Paragrafoelenco"/>
    <w:uiPriority w:val="34"/>
    <w:rsid w:val="00F452C9"/>
    <w:rPr>
      <w:rFonts w:ascii="Calibri" w:eastAsia="Calibri" w:hAnsi="Calibri"/>
      <w:sz w:val="22"/>
      <w:szCs w:val="24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F452C9"/>
    <w:rPr>
      <w:color w:val="8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F452C9"/>
    <w:pPr>
      <w:keepLines/>
      <w:numPr>
        <w:numId w:val="3"/>
      </w:numPr>
      <w:spacing w:before="480" w:after="240" w:line="259" w:lineRule="auto"/>
      <w:ind w:left="720"/>
      <w:jc w:val="left"/>
      <w:outlineLvl w:val="9"/>
    </w:pPr>
    <w:rPr>
      <w:rFonts w:ascii="Calibri" w:hAnsi="Calibri" w:cs="Calibri"/>
      <w:caps/>
      <w:color w:val="000000"/>
      <w:sz w:val="28"/>
      <w:szCs w:val="32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qFormat/>
    <w:rsid w:val="00F452C9"/>
    <w:pPr>
      <w:tabs>
        <w:tab w:val="left" w:pos="284"/>
        <w:tab w:val="left" w:pos="660"/>
        <w:tab w:val="right" w:leader="dot" w:pos="9638"/>
      </w:tabs>
      <w:spacing w:after="240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qFormat/>
    <w:rsid w:val="00F452C9"/>
    <w:pPr>
      <w:tabs>
        <w:tab w:val="left" w:pos="880"/>
        <w:tab w:val="right" w:leader="dot" w:pos="9628"/>
      </w:tabs>
      <w:spacing w:after="240"/>
      <w:ind w:left="709" w:hanging="471"/>
    </w:pPr>
    <w:rPr>
      <w:rFonts w:ascii="Calibri" w:eastAsia="Calibri" w:hAnsi="Calibri" w:cs="Calibri"/>
      <w:b/>
      <w:bCs/>
      <w:noProof/>
      <w:color w:val="145B3C"/>
      <w:sz w:val="22"/>
      <w:szCs w:val="24"/>
      <w:lang w:eastAsia="en-US"/>
    </w:rPr>
  </w:style>
  <w:style w:type="paragraph" w:customStyle="1" w:styleId="Pa40">
    <w:name w:val="Pa40"/>
    <w:basedOn w:val="Normale"/>
    <w:next w:val="Normale"/>
    <w:uiPriority w:val="99"/>
    <w:rsid w:val="00F452C9"/>
    <w:pPr>
      <w:autoSpaceDE w:val="0"/>
      <w:autoSpaceDN w:val="0"/>
      <w:adjustRightInd w:val="0"/>
      <w:spacing w:after="120" w:line="141" w:lineRule="atLeast"/>
    </w:pPr>
    <w:rPr>
      <w:rFonts w:ascii="HelveticaNeueLT Pro 45 Lt" w:eastAsia="Calibri" w:hAnsi="HelveticaNeueLT Pro 45 Lt"/>
      <w:sz w:val="22"/>
      <w:szCs w:val="24"/>
      <w:lang w:eastAsia="en-US"/>
    </w:rPr>
  </w:style>
  <w:style w:type="character" w:customStyle="1" w:styleId="A2">
    <w:name w:val="A2"/>
    <w:uiPriority w:val="99"/>
    <w:rsid w:val="00F452C9"/>
    <w:rPr>
      <w:rFonts w:cs="HelveticaNeueLT Pro 45 Lt"/>
      <w:color w:val="000000"/>
      <w:sz w:val="15"/>
      <w:szCs w:val="15"/>
    </w:rPr>
  </w:style>
  <w:style w:type="character" w:styleId="CitazioneHTML">
    <w:name w:val="HTML Cite"/>
    <w:basedOn w:val="Carpredefinitoparagrafo"/>
    <w:uiPriority w:val="99"/>
    <w:semiHidden/>
    <w:unhideWhenUsed/>
    <w:rsid w:val="00F452C9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F45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tabellaegrafico1">
    <w:name w:val="Titolo tabella e grafico1"/>
    <w:uiPriority w:val="33"/>
    <w:qFormat/>
    <w:rsid w:val="00F452C9"/>
    <w:rPr>
      <w:rFonts w:cs="Calibri"/>
      <w:b/>
      <w:smallCaps/>
      <w:color w:val="262626"/>
      <w:sz w:val="20"/>
      <w:szCs w:val="20"/>
      <w:lang w:eastAsia="it-IT"/>
    </w:rPr>
  </w:style>
  <w:style w:type="character" w:customStyle="1" w:styleId="FonteCarattere">
    <w:name w:val="Fonte Carattere"/>
    <w:basedOn w:val="Carpredefinitoparagrafo"/>
    <w:link w:val="Fonte"/>
    <w:rsid w:val="00F452C9"/>
    <w:rPr>
      <w:sz w:val="18"/>
    </w:rPr>
  </w:style>
  <w:style w:type="table" w:customStyle="1" w:styleId="Tabellaelenco3-colore51">
    <w:name w:val="Tabella elenco 3 - colore 51"/>
    <w:basedOn w:val="Tabellanormale"/>
    <w:uiPriority w:val="48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29B67A"/>
        <w:left w:val="single" w:sz="4" w:space="0" w:color="29B67A"/>
        <w:bottom w:val="single" w:sz="4" w:space="0" w:color="29B67A"/>
        <w:right w:val="single" w:sz="4" w:space="0" w:color="29B6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9B67A"/>
          <w:left w:val="single" w:sz="4" w:space="0" w:color="29B67A"/>
          <w:bottom w:val="single" w:sz="4" w:space="0" w:color="29B67A"/>
          <w:right w:val="single" w:sz="4" w:space="0" w:color="29B67A"/>
          <w:insideH w:val="nil"/>
          <w:insideV w:val="nil"/>
          <w:tl2br w:val="nil"/>
          <w:tr2bl w:val="nil"/>
        </w:tcBorders>
        <w:shd w:val="clear" w:color="auto" w:fill="29B67A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24EA2"/>
          <w:right w:val="single" w:sz="4" w:space="0" w:color="024EA2"/>
        </w:tcBorders>
      </w:tcPr>
    </w:tblStylePr>
    <w:tblStylePr w:type="band1Horz">
      <w:tblPr/>
      <w:tcPr>
        <w:tcBorders>
          <w:top w:val="single" w:sz="4" w:space="0" w:color="024EA2"/>
          <w:bottom w:val="single" w:sz="4" w:space="0" w:color="024E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EA2"/>
          <w:left w:val="nil"/>
        </w:tcBorders>
      </w:tcPr>
    </w:tblStylePr>
    <w:tblStylePr w:type="swCell">
      <w:tblPr/>
      <w:tcPr>
        <w:tcBorders>
          <w:top w:val="double" w:sz="4" w:space="0" w:color="024EA2"/>
          <w:right w:val="nil"/>
        </w:tcBorders>
      </w:tcPr>
    </w:tblStylePr>
  </w:style>
  <w:style w:type="table" w:customStyle="1" w:styleId="Tabellagriglia4-colore51">
    <w:name w:val="Tabella griglia 4 - colore 51"/>
    <w:basedOn w:val="Tabellanormale"/>
    <w:uiPriority w:val="49"/>
    <w:rsid w:val="00F452C9"/>
    <w:rPr>
      <w:rFonts w:ascii="Calibri" w:eastAsia="Calibri" w:hAnsi="Calibri"/>
      <w:sz w:val="18"/>
      <w:szCs w:val="24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4EA2"/>
          <w:left w:val="single" w:sz="4" w:space="0" w:color="024EA2"/>
          <w:bottom w:val="single" w:sz="4" w:space="0" w:color="024EA2"/>
          <w:right w:val="single" w:sz="4" w:space="0" w:color="024EA2"/>
          <w:insideH w:val="nil"/>
          <w:insideV w:val="nil"/>
        </w:tcBorders>
        <w:shd w:val="clear" w:color="auto" w:fill="024EA2"/>
      </w:tcPr>
    </w:tblStylePr>
    <w:tblStylePr w:type="lastRow">
      <w:rPr>
        <w:b/>
        <w:bCs/>
      </w:rPr>
      <w:tblPr/>
      <w:tcPr>
        <w:tcBorders>
          <w:top w:val="double" w:sz="4" w:space="0" w:color="024E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E"/>
      </w:tcPr>
    </w:tblStylePr>
    <w:tblStylePr w:type="band1Horz">
      <w:tblPr/>
      <w:tcPr>
        <w:shd w:val="clear" w:color="auto" w:fill="BADAFE"/>
      </w:tcPr>
    </w:tblStylePr>
  </w:style>
  <w:style w:type="table" w:customStyle="1" w:styleId="Tabellasemplice51">
    <w:name w:val="Tabella semplice 51"/>
    <w:basedOn w:val="Tabellanormale"/>
    <w:uiPriority w:val="45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F452C9"/>
    <w:rPr>
      <w:i/>
      <w:sz w:val="26"/>
    </w:rPr>
  </w:style>
  <w:style w:type="paragraph" w:styleId="Nessunaspaziatura">
    <w:name w:val="No Spacing"/>
    <w:uiPriority w:val="1"/>
    <w:qFormat/>
    <w:rsid w:val="00F452C9"/>
    <w:pPr>
      <w:jc w:val="both"/>
    </w:pPr>
    <w:rPr>
      <w:rFonts w:ascii="Calibri" w:eastAsia="Calibri" w:hAnsi="Calibri"/>
      <w:sz w:val="22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table" w:customStyle="1" w:styleId="Grigliachiara-Colore11">
    <w:name w:val="Griglia chiara - Colore 11"/>
    <w:basedOn w:val="Tabellanormale"/>
    <w:uiPriority w:val="62"/>
    <w:rsid w:val="00F452C9"/>
    <w:rPr>
      <w:rFonts w:ascii="Calibri" w:eastAsia="Calibri" w:hAnsi="Calibr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msonormal0">
    <w:name w:val="msonormal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1">
    <w:name w:val="xl191"/>
    <w:basedOn w:val="Normale"/>
    <w:rsid w:val="00F452C9"/>
    <w:pPr>
      <w:spacing w:before="100" w:beforeAutospacing="1" w:after="100" w:afterAutospacing="1"/>
      <w:jc w:val="left"/>
    </w:pPr>
    <w:rPr>
      <w:color w:val="135B3D"/>
      <w:szCs w:val="24"/>
    </w:rPr>
  </w:style>
  <w:style w:type="paragraph" w:customStyle="1" w:styleId="xl192">
    <w:name w:val="xl192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paragraph" w:customStyle="1" w:styleId="xl193">
    <w:name w:val="xl193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4">
    <w:name w:val="xl194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7"/>
      <w:szCs w:val="17"/>
    </w:rPr>
  </w:style>
  <w:style w:type="paragraph" w:customStyle="1" w:styleId="xl195">
    <w:name w:val="xl19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196">
    <w:name w:val="xl196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197">
    <w:name w:val="xl197"/>
    <w:basedOn w:val="Normale"/>
    <w:rsid w:val="00F452C9"/>
    <w:pPr>
      <w:spacing w:before="100" w:beforeAutospacing="1" w:after="100" w:afterAutospacing="1"/>
      <w:jc w:val="left"/>
    </w:pPr>
    <w:rPr>
      <w:color w:val="066686"/>
      <w:szCs w:val="24"/>
    </w:rPr>
  </w:style>
  <w:style w:type="paragraph" w:customStyle="1" w:styleId="xl198">
    <w:name w:val="xl198"/>
    <w:basedOn w:val="Normale"/>
    <w:rsid w:val="00F452C9"/>
    <w:pPr>
      <w:spacing w:before="100" w:beforeAutospacing="1" w:after="100" w:afterAutospacing="1"/>
      <w:jc w:val="right"/>
      <w:textAlignment w:val="center"/>
    </w:pPr>
    <w:rPr>
      <w:color w:val="066686"/>
      <w:sz w:val="28"/>
      <w:szCs w:val="28"/>
    </w:rPr>
  </w:style>
  <w:style w:type="paragraph" w:customStyle="1" w:styleId="xl199">
    <w:name w:val="xl199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0">
    <w:name w:val="xl200"/>
    <w:basedOn w:val="Normale"/>
    <w:rsid w:val="00F452C9"/>
    <w:pP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01">
    <w:name w:val="xl201"/>
    <w:basedOn w:val="Normale"/>
    <w:rsid w:val="00F452C9"/>
    <w:pPr>
      <w:spacing w:before="100" w:beforeAutospacing="1" w:after="100" w:afterAutospacing="1"/>
      <w:jc w:val="left"/>
    </w:pPr>
    <w:rPr>
      <w:color w:val="066686"/>
      <w:sz w:val="18"/>
      <w:szCs w:val="18"/>
    </w:rPr>
  </w:style>
  <w:style w:type="paragraph" w:customStyle="1" w:styleId="xl202">
    <w:name w:val="xl202"/>
    <w:basedOn w:val="Normale"/>
    <w:rsid w:val="00F452C9"/>
    <w:pPr>
      <w:spacing w:before="100" w:beforeAutospacing="1" w:after="100" w:afterAutospacing="1"/>
      <w:jc w:val="left"/>
    </w:pPr>
    <w:rPr>
      <w:sz w:val="20"/>
    </w:rPr>
  </w:style>
  <w:style w:type="paragraph" w:customStyle="1" w:styleId="xl203">
    <w:name w:val="xl203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 w:val="20"/>
    </w:rPr>
  </w:style>
  <w:style w:type="paragraph" w:customStyle="1" w:styleId="xl204">
    <w:name w:val="xl204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404040"/>
      <w:sz w:val="18"/>
      <w:szCs w:val="18"/>
    </w:rPr>
  </w:style>
  <w:style w:type="paragraph" w:customStyle="1" w:styleId="xl205">
    <w:name w:val="xl205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404040"/>
      <w:sz w:val="20"/>
    </w:rPr>
  </w:style>
  <w:style w:type="paragraph" w:customStyle="1" w:styleId="xl206">
    <w:name w:val="xl20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sz w:val="20"/>
    </w:rPr>
  </w:style>
  <w:style w:type="paragraph" w:customStyle="1" w:styleId="xl207">
    <w:name w:val="xl207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6B9F25"/>
      <w:sz w:val="20"/>
    </w:rPr>
  </w:style>
  <w:style w:type="paragraph" w:customStyle="1" w:styleId="xl208">
    <w:name w:val="xl208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20"/>
    </w:rPr>
  </w:style>
  <w:style w:type="paragraph" w:customStyle="1" w:styleId="xl209">
    <w:name w:val="xl209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6B9F25"/>
      <w:sz w:val="20"/>
    </w:rPr>
  </w:style>
  <w:style w:type="paragraph" w:customStyle="1" w:styleId="xl210">
    <w:name w:val="xl210"/>
    <w:basedOn w:val="Normale"/>
    <w:rsid w:val="00F452C9"/>
    <w:pP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211">
    <w:name w:val="xl211"/>
    <w:basedOn w:val="Normale"/>
    <w:rsid w:val="00F452C9"/>
    <w:pPr>
      <w:spacing w:before="100" w:beforeAutospacing="1" w:after="100" w:afterAutospacing="1"/>
      <w:jc w:val="left"/>
      <w:textAlignment w:val="top"/>
    </w:pPr>
    <w:rPr>
      <w:szCs w:val="24"/>
    </w:rPr>
  </w:style>
  <w:style w:type="paragraph" w:customStyle="1" w:styleId="xl212">
    <w:name w:val="xl212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135B3D"/>
      <w:szCs w:val="24"/>
    </w:rPr>
  </w:style>
  <w:style w:type="paragraph" w:customStyle="1" w:styleId="xl213">
    <w:name w:val="xl213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Cs w:val="24"/>
    </w:rPr>
  </w:style>
  <w:style w:type="paragraph" w:customStyle="1" w:styleId="xl214">
    <w:name w:val="xl214"/>
    <w:basedOn w:val="Normale"/>
    <w:rsid w:val="00F452C9"/>
    <w:pPr>
      <w:spacing w:before="100" w:beforeAutospacing="1" w:after="100" w:afterAutospacing="1"/>
      <w:jc w:val="left"/>
    </w:pPr>
    <w:rPr>
      <w:b/>
      <w:bCs/>
      <w:color w:val="135B3D"/>
      <w:sz w:val="18"/>
      <w:szCs w:val="18"/>
    </w:rPr>
  </w:style>
  <w:style w:type="paragraph" w:customStyle="1" w:styleId="xl215">
    <w:name w:val="xl215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xl216">
    <w:name w:val="xl216"/>
    <w:basedOn w:val="Normale"/>
    <w:rsid w:val="00F452C9"/>
    <w:pPr>
      <w:shd w:val="clear" w:color="000000" w:fill="29B67A"/>
      <w:spacing w:before="100" w:beforeAutospacing="1" w:after="100" w:afterAutospacing="1"/>
      <w:jc w:val="right"/>
    </w:pPr>
    <w:rPr>
      <w:b/>
      <w:bCs/>
      <w:color w:val="FFFFFF"/>
      <w:sz w:val="18"/>
      <w:szCs w:val="18"/>
    </w:rPr>
  </w:style>
  <w:style w:type="paragraph" w:customStyle="1" w:styleId="xl217">
    <w:name w:val="xl217"/>
    <w:basedOn w:val="Normale"/>
    <w:rsid w:val="00F452C9"/>
    <w:pPr>
      <w:spacing w:before="100" w:beforeAutospacing="1" w:after="100" w:afterAutospacing="1"/>
      <w:jc w:val="left"/>
    </w:pPr>
    <w:rPr>
      <w:color w:val="262626"/>
      <w:sz w:val="17"/>
      <w:szCs w:val="17"/>
    </w:rPr>
  </w:style>
  <w:style w:type="paragraph" w:customStyle="1" w:styleId="xl218">
    <w:name w:val="xl218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262626"/>
      <w:sz w:val="17"/>
      <w:szCs w:val="17"/>
    </w:rPr>
  </w:style>
  <w:style w:type="paragraph" w:customStyle="1" w:styleId="xl219">
    <w:name w:val="xl219"/>
    <w:basedOn w:val="Normale"/>
    <w:rsid w:val="00F452C9"/>
    <w:pPr>
      <w:spacing w:before="100" w:beforeAutospacing="1" w:after="100" w:afterAutospacing="1"/>
      <w:jc w:val="left"/>
      <w:textAlignment w:val="top"/>
    </w:pPr>
    <w:rPr>
      <w:color w:val="262626"/>
      <w:sz w:val="17"/>
      <w:szCs w:val="17"/>
    </w:rPr>
  </w:style>
  <w:style w:type="paragraph" w:customStyle="1" w:styleId="xl220">
    <w:name w:val="xl220"/>
    <w:basedOn w:val="Normale"/>
    <w:rsid w:val="00F452C9"/>
    <w:pPr>
      <w:spacing w:before="100" w:beforeAutospacing="1" w:after="100" w:afterAutospacing="1"/>
      <w:jc w:val="right"/>
      <w:textAlignment w:val="top"/>
    </w:pPr>
    <w:rPr>
      <w:color w:val="262626"/>
      <w:sz w:val="17"/>
      <w:szCs w:val="17"/>
    </w:rPr>
  </w:style>
  <w:style w:type="paragraph" w:customStyle="1" w:styleId="xl221">
    <w:name w:val="xl221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2">
    <w:name w:val="xl222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3">
    <w:name w:val="xl223"/>
    <w:basedOn w:val="Normale"/>
    <w:rsid w:val="00F452C9"/>
    <w:pPr>
      <w:pBdr>
        <w:bottom w:val="single" w:sz="4" w:space="0" w:color="339966"/>
      </w:pBdr>
      <w:spacing w:before="100" w:beforeAutospacing="1" w:after="100" w:afterAutospacing="1"/>
      <w:jc w:val="right"/>
    </w:pPr>
    <w:rPr>
      <w:b/>
      <w:bCs/>
      <w:color w:val="024EA2"/>
      <w:sz w:val="17"/>
      <w:szCs w:val="17"/>
    </w:rPr>
  </w:style>
  <w:style w:type="paragraph" w:customStyle="1" w:styleId="xl224">
    <w:name w:val="xl224"/>
    <w:basedOn w:val="Normale"/>
    <w:rsid w:val="00F452C9"/>
    <w:pPr>
      <w:spacing w:before="100" w:beforeAutospacing="1" w:after="100" w:afterAutospacing="1"/>
      <w:jc w:val="left"/>
    </w:pPr>
    <w:rPr>
      <w:color w:val="024EA2"/>
      <w:sz w:val="17"/>
      <w:szCs w:val="17"/>
    </w:rPr>
  </w:style>
  <w:style w:type="paragraph" w:customStyle="1" w:styleId="xl225">
    <w:name w:val="xl225"/>
    <w:basedOn w:val="Normale"/>
    <w:rsid w:val="00F452C9"/>
    <w:pPr>
      <w:spacing w:before="100" w:beforeAutospacing="1" w:after="100" w:afterAutospacing="1"/>
      <w:jc w:val="left"/>
    </w:pPr>
    <w:rPr>
      <w:b/>
      <w:bCs/>
      <w:color w:val="024EA2"/>
      <w:sz w:val="17"/>
      <w:szCs w:val="17"/>
    </w:rPr>
  </w:style>
  <w:style w:type="paragraph" w:customStyle="1" w:styleId="xl226">
    <w:name w:val="xl226"/>
    <w:basedOn w:val="Normale"/>
    <w:rsid w:val="00F452C9"/>
    <w:pPr>
      <w:spacing w:before="100" w:beforeAutospacing="1" w:after="100" w:afterAutospacing="1"/>
      <w:jc w:val="left"/>
      <w:textAlignment w:val="top"/>
    </w:pPr>
    <w:rPr>
      <w:b/>
      <w:bCs/>
      <w:color w:val="024EA2"/>
      <w:sz w:val="17"/>
      <w:szCs w:val="17"/>
    </w:rPr>
  </w:style>
  <w:style w:type="paragraph" w:customStyle="1" w:styleId="xl227">
    <w:name w:val="xl227"/>
    <w:basedOn w:val="Normale"/>
    <w:rsid w:val="00F452C9"/>
    <w:pPr>
      <w:spacing w:before="100" w:beforeAutospacing="1" w:after="100" w:afterAutospacing="1"/>
      <w:jc w:val="right"/>
      <w:textAlignment w:val="top"/>
    </w:pPr>
    <w:rPr>
      <w:b/>
      <w:bCs/>
      <w:color w:val="024EA2"/>
      <w:sz w:val="17"/>
      <w:szCs w:val="17"/>
    </w:rPr>
  </w:style>
  <w:style w:type="paragraph" w:customStyle="1" w:styleId="xl228">
    <w:name w:val="xl228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29">
    <w:name w:val="xl229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0">
    <w:name w:val="xl230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262626"/>
      <w:sz w:val="18"/>
      <w:szCs w:val="18"/>
    </w:rPr>
  </w:style>
  <w:style w:type="paragraph" w:customStyle="1" w:styleId="xl231">
    <w:name w:val="xl231"/>
    <w:basedOn w:val="Normale"/>
    <w:rsid w:val="00F452C9"/>
    <w:pPr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262626"/>
      <w:sz w:val="18"/>
      <w:szCs w:val="18"/>
    </w:rPr>
  </w:style>
  <w:style w:type="paragraph" w:customStyle="1" w:styleId="xl232">
    <w:name w:val="xl232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color w:val="135B3D"/>
      <w:sz w:val="18"/>
      <w:szCs w:val="18"/>
    </w:rPr>
  </w:style>
  <w:style w:type="paragraph" w:customStyle="1" w:styleId="xl233">
    <w:name w:val="xl233"/>
    <w:basedOn w:val="Normale"/>
    <w:rsid w:val="00F452C9"/>
    <w:pPr>
      <w:pBdr>
        <w:bottom w:val="single" w:sz="4" w:space="0" w:color="29B67A"/>
      </w:pBdr>
      <w:spacing w:before="100" w:beforeAutospacing="1" w:after="100" w:afterAutospacing="1"/>
      <w:jc w:val="left"/>
    </w:pPr>
    <w:rPr>
      <w:sz w:val="20"/>
    </w:rPr>
  </w:style>
  <w:style w:type="paragraph" w:customStyle="1" w:styleId="xl234">
    <w:name w:val="xl234"/>
    <w:basedOn w:val="Normale"/>
    <w:rsid w:val="00F452C9"/>
    <w:pPr>
      <w:pBdr>
        <w:top w:val="single" w:sz="4" w:space="0" w:color="29B67A"/>
      </w:pBdr>
      <w:spacing w:before="100" w:beforeAutospacing="1" w:after="100" w:afterAutospacing="1"/>
      <w:jc w:val="left"/>
      <w:textAlignment w:val="top"/>
    </w:pPr>
    <w:rPr>
      <w:color w:val="262626"/>
      <w:sz w:val="16"/>
      <w:szCs w:val="16"/>
    </w:rPr>
  </w:style>
  <w:style w:type="paragraph" w:customStyle="1" w:styleId="xl235">
    <w:name w:val="xl235"/>
    <w:basedOn w:val="Normale"/>
    <w:rsid w:val="00F452C9"/>
    <w:pPr>
      <w:spacing w:before="100" w:beforeAutospacing="1" w:after="100" w:afterAutospacing="1"/>
      <w:jc w:val="right"/>
      <w:textAlignment w:val="top"/>
    </w:pPr>
    <w:rPr>
      <w:i/>
      <w:iCs/>
      <w:color w:val="262626"/>
      <w:sz w:val="16"/>
      <w:szCs w:val="16"/>
    </w:rPr>
  </w:style>
  <w:style w:type="paragraph" w:customStyle="1" w:styleId="xl236">
    <w:name w:val="xl236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7">
    <w:name w:val="xl237"/>
    <w:basedOn w:val="Normale"/>
    <w:rsid w:val="00F452C9"/>
    <w:pPr>
      <w:spacing w:before="100" w:beforeAutospacing="1" w:after="100" w:afterAutospacing="1"/>
      <w:textAlignment w:val="top"/>
    </w:pPr>
    <w:rPr>
      <w:b/>
      <w:bCs/>
      <w:color w:val="262626"/>
      <w:sz w:val="18"/>
      <w:szCs w:val="18"/>
    </w:rPr>
  </w:style>
  <w:style w:type="paragraph" w:customStyle="1" w:styleId="xl238">
    <w:name w:val="xl238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39">
    <w:name w:val="xl239"/>
    <w:basedOn w:val="Normale"/>
    <w:rsid w:val="00F452C9"/>
    <w:pPr>
      <w:pBdr>
        <w:bottom w:val="single" w:sz="4" w:space="0" w:color="FFFFFF"/>
      </w:pBd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18"/>
      <w:szCs w:val="18"/>
    </w:rPr>
  </w:style>
  <w:style w:type="paragraph" w:customStyle="1" w:styleId="xl240">
    <w:name w:val="xl240"/>
    <w:basedOn w:val="Normale"/>
    <w:rsid w:val="00F452C9"/>
    <w:pPr>
      <w:spacing w:before="100" w:beforeAutospacing="1" w:after="100" w:afterAutospacing="1"/>
      <w:jc w:val="left"/>
      <w:textAlignment w:val="center"/>
    </w:pPr>
    <w:rPr>
      <w:color w:val="066686"/>
      <w:sz w:val="28"/>
      <w:szCs w:val="28"/>
    </w:rPr>
  </w:style>
  <w:style w:type="paragraph" w:customStyle="1" w:styleId="xl241">
    <w:name w:val="xl241"/>
    <w:basedOn w:val="Normale"/>
    <w:rsid w:val="00F452C9"/>
    <w:pPr>
      <w:shd w:val="clear" w:color="000000" w:fill="29B67A"/>
      <w:spacing w:before="100" w:beforeAutospacing="1" w:after="100" w:afterAutospacing="1"/>
      <w:jc w:val="right"/>
      <w:textAlignment w:val="top"/>
    </w:pPr>
    <w:rPr>
      <w:b/>
      <w:bCs/>
      <w:color w:val="FFFFFF"/>
      <w:sz w:val="20"/>
    </w:rPr>
  </w:style>
  <w:style w:type="paragraph" w:customStyle="1" w:styleId="TableParagraph">
    <w:name w:val="Table Paragraph"/>
    <w:basedOn w:val="Normale"/>
    <w:uiPriority w:val="1"/>
    <w:qFormat/>
    <w:rsid w:val="00F452C9"/>
    <w:pPr>
      <w:widowControl w:val="0"/>
      <w:autoSpaceDE w:val="0"/>
      <w:autoSpaceDN w:val="0"/>
      <w:jc w:val="right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basedOn w:val="Carpredefinitoparagrafo"/>
    <w:link w:val="Corpotesto"/>
    <w:uiPriority w:val="1"/>
    <w:rsid w:val="00F452C9"/>
    <w:rPr>
      <w:sz w:val="28"/>
    </w:rPr>
  </w:style>
  <w:style w:type="paragraph" w:customStyle="1" w:styleId="desk-menu-item">
    <w:name w:val="desk-menu-item"/>
    <w:basedOn w:val="Normale"/>
    <w:rsid w:val="00F452C9"/>
    <w:pPr>
      <w:spacing w:before="100" w:beforeAutospacing="1" w:after="100" w:afterAutospacing="1"/>
      <w:jc w:val="left"/>
    </w:pPr>
    <w:rPr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452C9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F452C9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paragraph" w:customStyle="1" w:styleId="TITOLO10">
    <w:name w:val="TITOLO 1"/>
    <w:basedOn w:val="Normale"/>
    <w:link w:val="TITOLO1Carattere0"/>
    <w:qFormat/>
    <w:rsid w:val="00F452C9"/>
    <w:pPr>
      <w:jc w:val="left"/>
    </w:pPr>
    <w:rPr>
      <w:rFonts w:eastAsia="Calibri"/>
      <w:szCs w:val="24"/>
    </w:rPr>
  </w:style>
  <w:style w:type="character" w:customStyle="1" w:styleId="TITOLO1Carattere0">
    <w:name w:val="TITOLO 1 Carattere"/>
    <w:basedOn w:val="Carpredefinitoparagrafo"/>
    <w:link w:val="TITOLO10"/>
    <w:rsid w:val="00F452C9"/>
    <w:rPr>
      <w:rFonts w:eastAsia="Calibr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52C9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qFormat/>
    <w:rsid w:val="00F452C9"/>
    <w:rPr>
      <w:b/>
      <w:bCs/>
      <w:i/>
      <w:iCs/>
      <w:spacing w:val="5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45D"/>
    <w:rPr>
      <w:color w:val="605E5C"/>
      <w:shd w:val="clear" w:color="auto" w:fill="E1DFDD"/>
    </w:rPr>
  </w:style>
  <w:style w:type="paragraph" w:customStyle="1" w:styleId="mbtes01">
    <w:name w:val="mbtes01"/>
    <w:basedOn w:val="Normale"/>
    <w:rsid w:val="00DA2B42"/>
    <w:pPr>
      <w:spacing w:line="240" w:lineRule="exact"/>
    </w:pPr>
    <w:rPr>
      <w:rFonts w:ascii="Bodoni Bk BT" w:hAnsi="Bodoni Bk BT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DA2B42"/>
    <w:pPr>
      <w:jc w:val="left"/>
    </w:pPr>
    <w:rPr>
      <w:rFonts w:ascii="Trebuchet MS" w:eastAsia="Calibri" w:hAnsi="Trebuchet MS"/>
      <w:color w:val="003366"/>
      <w:sz w:val="20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A2B42"/>
    <w:rPr>
      <w:rFonts w:ascii="Trebuchet MS" w:eastAsia="Calibri" w:hAnsi="Trebuchet MS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72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studimediobanca.com" TargetMode="External" /><Relationship Id="rId13" Type="http://schemas.openxmlformats.org/officeDocument/2006/relationships/image" Target="media/image2.sv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1.pn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chart" Target="charts/chart4.xml" /><Relationship Id="rId20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1.xml" /><Relationship Id="rId5" Type="http://schemas.openxmlformats.org/officeDocument/2006/relationships/webSettings" Target="webSettings.xml" /><Relationship Id="rId15" Type="http://schemas.openxmlformats.org/officeDocument/2006/relationships/chart" Target="charts/chart3.xml" /><Relationship Id="rId10" Type="http://schemas.openxmlformats.org/officeDocument/2006/relationships/hyperlink" Target="http://www.tagliacarne.it" TargetMode="External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yperlink" Target="http://www.unioncamere.gov.it" TargetMode="External" /><Relationship Id="rId14" Type="http://schemas.openxmlformats.org/officeDocument/2006/relationships/chart" Target="charts/chart2.xml" /><Relationship Id="rId22" Type="http://schemas.openxmlformats.org/officeDocument/2006/relationships/theme" Target="theme/theme1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ncamere.gov.it" TargetMode="External" /><Relationship Id="rId2" Type="http://schemas.openxmlformats.org/officeDocument/2006/relationships/hyperlink" Target="mailto:ufficio.stampa@unioncamere.it" TargetMode="External" /><Relationship Id="rId1" Type="http://schemas.openxmlformats.org/officeDocument/2006/relationships/hyperlink" Target="mailto:media.relations@mediobanca.com" TargetMode="External" /><Relationship Id="rId6" Type="http://schemas.openxmlformats.org/officeDocument/2006/relationships/hyperlink" Target="https://twitter.com/IstTagliacarne" TargetMode="External" /><Relationship Id="rId5" Type="http://schemas.openxmlformats.org/officeDocument/2006/relationships/hyperlink" Target="http://www.tagliacarne.it" TargetMode="External" /><Relationship Id="rId4" Type="http://schemas.openxmlformats.org/officeDocument/2006/relationships/hyperlink" Target="file:///C:\Users\BU0946\AppData\Local\Microsoft\Windows\INetCache\Content.Outlook\TZUKH1HC\twitter.com\unioncamere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 /><Relationship Id="rId2" Type="http://schemas.openxmlformats.org/officeDocument/2006/relationships/image" Target="media/image12.png" /><Relationship Id="rId1" Type="http://schemas.openxmlformats.org/officeDocument/2006/relationships/image" Target="media/image11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 /><Relationship Id="rId2" Type="http://schemas.openxmlformats.org/officeDocument/2006/relationships/image" Target="media/image12.png" /><Relationship Id="rId1" Type="http://schemas.openxmlformats.org/officeDocument/2006/relationships/image" Target="media/image1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MBPNETAPP01\MBP_uffici$\MBP-Uffici\1539-AD\1530-Ufficio%20Studi\Shared-AreaStudi\B-Data%20Specialists\MINEC22%20(2023)\RELAZIONE%20+%20PAPER\PAPER\DATI%20PAPER\2.3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MBPNETAPP01\MBP_uffici$\MBP-Uffici\1539-AD\1530-Ufficio%20Studi\Shared-AreaStudi\B-Data%20Specialists\MINEC22%20(2023)\RELAZIONE%20+%20PAPER\PAPER\DATI%20PAPER\3.1.xlsx" TargetMode="External" /><Relationship Id="rId2" Type="http://schemas.microsoft.com/office/2011/relationships/chartColorStyle" Target="colors2.xml" /><Relationship Id="rId1" Type="http://schemas.microsoft.com/office/2011/relationships/chartStyle" Target="style2.xml" /><Relationship Id="rId4" Type="http://schemas.openxmlformats.org/officeDocument/2006/relationships/chartUserShapes" Target="../drawings/drawing1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GTA085\Desktop\Medie_imprese_17JUNE\MP_Analysis\GRAPHS_WORK_17JUNE.xlsx" TargetMode="External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MBPNETAPP01\MBP_uffici$\MBP-Uffici\1539-AD\1530-Ufficio%20Studi\Shared-AreaStudi\B-Data%20Specialists\MINEC22%20(2023)\RELAZIONE%20+%20PAPER\PAPER\Dati%20per%20grafico\File%20unico%20per%20grafico.xlsx" TargetMode="External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380275307313206"/>
          <c:y val="3.808170857467786E-2"/>
          <c:w val="0.65612530448082473"/>
          <c:h val="0.895363563514737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'2.3'!$B$4</c:f>
              <c:strCache>
                <c:ptCount val="1"/>
                <c:pt idx="0">
                  <c:v>Medio-grandi</c:v>
                </c:pt>
              </c:strCache>
            </c:strRef>
          </c:tx>
          <c:spPr>
            <a:solidFill>
              <a:srgbClr val="2B8FC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266207677613353E-2"/>
                  <c:y val="8.7145969498910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E-43D2-B7F3-A7F88AF9FD6E}"/>
                </c:ext>
              </c:extLst>
            </c:dLbl>
            <c:dLbl>
              <c:idx val="2"/>
              <c:layout>
                <c:manualLayout>
                  <c:x val="3.479512147918242E-3"/>
                  <c:y val="2.849124251625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E-43D2-B7F3-A7F88AF9FD6E}"/>
                </c:ext>
              </c:extLst>
            </c:dLbl>
            <c:dLbl>
              <c:idx val="3"/>
              <c:layout>
                <c:manualLayout>
                  <c:x val="8.6330935251798559E-3"/>
                  <c:y val="1.1061946902654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BE-43D2-B7F3-A7F88AF9FD6E}"/>
                </c:ext>
              </c:extLst>
            </c:dLbl>
            <c:dLbl>
              <c:idx val="4"/>
              <c:layout>
                <c:manualLayout>
                  <c:x val="1.1510791366906263E-2"/>
                  <c:y val="1.1061946902654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BE-43D2-B7F3-A7F88AF9FD6E}"/>
                </c:ext>
              </c:extLst>
            </c:dLbl>
            <c:dLbl>
              <c:idx val="6"/>
              <c:layout>
                <c:manualLayout>
                  <c:x val="4.3165467625899279E-3"/>
                  <c:y val="1.3274336283185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BE-43D2-B7F3-A7F88AF9FD6E}"/>
                </c:ext>
              </c:extLst>
            </c:dLbl>
            <c:dLbl>
              <c:idx val="7"/>
              <c:layout>
                <c:manualLayout>
                  <c:x val="8.6330935251798559E-3"/>
                  <c:y val="6.63716814159292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BE-43D2-B7F3-A7F88AF9FD6E}"/>
                </c:ext>
              </c:extLst>
            </c:dLbl>
            <c:dLbl>
              <c:idx val="8"/>
              <c:layout>
                <c:manualLayout>
                  <c:x val="5.7553956834531846E-3"/>
                  <c:y val="8.8495575221238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BE-43D2-B7F3-A7F88AF9FD6E}"/>
                </c:ext>
              </c:extLst>
            </c:dLbl>
            <c:dLbl>
              <c:idx val="9"/>
              <c:layout>
                <c:manualLayout>
                  <c:x val="1.0071942446043113E-2"/>
                  <c:y val="4.42477876106194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BE-43D2-B7F3-A7F88AF9FD6E}"/>
                </c:ext>
              </c:extLst>
            </c:dLbl>
            <c:dLbl>
              <c:idx val="11"/>
              <c:layout>
                <c:manualLayout>
                  <c:x val="5.7553956834532375E-3"/>
                  <c:y val="1.4687882496940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BE-43D2-B7F3-A7F88AF9FD6E}"/>
                </c:ext>
              </c:extLst>
            </c:dLbl>
            <c:dLbl>
              <c:idx val="12"/>
              <c:layout>
                <c:manualLayout>
                  <c:x val="7.1942446043165992E-3"/>
                  <c:y val="7.3439412484700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BE-43D2-B7F3-A7F88AF9FD6E}"/>
                </c:ext>
              </c:extLst>
            </c:dLbl>
            <c:dLbl>
              <c:idx val="13"/>
              <c:layout>
                <c:manualLayout>
                  <c:x val="4.316546762589875E-3"/>
                  <c:y val="9.79192166462668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BE-43D2-B7F3-A7F88AF9FD6E}"/>
                </c:ext>
              </c:extLst>
            </c:dLbl>
            <c:dLbl>
              <c:idx val="14"/>
              <c:layout>
                <c:manualLayout>
                  <c:x val="5.7553956834532375E-3"/>
                  <c:y val="2.8996617160920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BE-43D2-B7F3-A7F88AF9F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132745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'2.3'!$A$5:$A$20</c:f>
              <c:strCache>
                <c:ptCount val="15"/>
                <c:pt idx="0">
                  <c:v>Nessuna azione perché non si intende aumentare la quota di mercato</c:v>
                </c:pt>
                <c:pt idx="2">
                  <c:v>Riduzione dei prezzi di vendita</c:v>
                </c:pt>
                <c:pt idx="3">
                  <c:v>Maggiori investimenti nel digitale</c:v>
                </c:pt>
                <c:pt idx="4">
                  <c:v>Maggiore qualità e innovazione di prodotto</c:v>
                </c:pt>
                <c:pt idx="6">
                  <c:v>Maggiore pubblicità/marketing</c:v>
                </c:pt>
                <c:pt idx="7">
                  <c:v>Più presenza commerciale in Italia</c:v>
                </c:pt>
                <c:pt idx="8">
                  <c:v>Più intermediari/esportatori</c:v>
                </c:pt>
                <c:pt idx="9">
                  <c:v>Maggiore presidio commerciale in Paesi stranieri non serviti</c:v>
                </c:pt>
                <c:pt idx="11">
                  <c:v>Acquisire competitors stranieri</c:v>
                </c:pt>
                <c:pt idx="12">
                  <c:v>Acquisire competitors italiani</c:v>
                </c:pt>
                <c:pt idx="13">
                  <c:v>Maggiori investimenti in produzione all'estero</c:v>
                </c:pt>
                <c:pt idx="14">
                  <c:v>Maggiori investimenti in produzione in Italia</c:v>
                </c:pt>
              </c:strCache>
            </c:strRef>
          </c:cat>
          <c:val>
            <c:numRef>
              <c:f>'2.3'!$B$5:$B$20</c:f>
              <c:numCache>
                <c:formatCode>General</c:formatCode>
                <c:ptCount val="16"/>
                <c:pt idx="0" formatCode="#,##0.0">
                  <c:v>2.7272727272727271</c:v>
                </c:pt>
                <c:pt idx="2" formatCode="#,##0.0">
                  <c:v>4.5454545454545459</c:v>
                </c:pt>
                <c:pt idx="3" formatCode="#,##0.0">
                  <c:v>31.818181818181817</c:v>
                </c:pt>
                <c:pt idx="4" formatCode="#,##0.0">
                  <c:v>65.454545454545453</c:v>
                </c:pt>
                <c:pt idx="6" formatCode="#,##0.0">
                  <c:v>31.818181818181817</c:v>
                </c:pt>
                <c:pt idx="7" formatCode="#,##0.0">
                  <c:v>19.090909090909093</c:v>
                </c:pt>
                <c:pt idx="8" formatCode="#,##0.0">
                  <c:v>8.1818181818181817</c:v>
                </c:pt>
                <c:pt idx="9" formatCode="#,##0.0">
                  <c:v>20.909090909090907</c:v>
                </c:pt>
                <c:pt idx="11" formatCode="#,##0.0">
                  <c:v>21.818181818181817</c:v>
                </c:pt>
                <c:pt idx="12" formatCode="#,##0.0">
                  <c:v>19.090909090909093</c:v>
                </c:pt>
                <c:pt idx="13" formatCode="#,##0.0">
                  <c:v>30.909090909090907</c:v>
                </c:pt>
                <c:pt idx="14" formatCode="#,##0.0">
                  <c:v>57.272727272727273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1BE-43D2-B7F3-A7F88AF9FD6E}"/>
            </c:ext>
          </c:extLst>
        </c:ser>
        <c:ser>
          <c:idx val="1"/>
          <c:order val="1"/>
          <c:tx>
            <c:strRef>
              <c:f>'2.3'!$C$4</c:f>
              <c:strCache>
                <c:ptCount val="1"/>
                <c:pt idx="0">
                  <c:v>Medie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949640287769784E-2"/>
                  <c:y val="-1.106194690265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BE-43D2-B7F3-A7F88AF9FD6E}"/>
                </c:ext>
              </c:extLst>
            </c:dLbl>
            <c:dLbl>
              <c:idx val="2"/>
              <c:layout>
                <c:manualLayout>
                  <c:x val="3.16546762589928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BE-43D2-B7F3-A7F88AF9FD6E}"/>
                </c:ext>
              </c:extLst>
            </c:dLbl>
            <c:dLbl>
              <c:idx val="3"/>
              <c:layout>
                <c:manualLayout>
                  <c:x val="1.1510864851497484E-2"/>
                  <c:y val="-1.960784313725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390987710514336E-2"/>
                      <c:h val="6.54901960784313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91BE-43D2-B7F3-A7F88AF9FD6E}"/>
                </c:ext>
              </c:extLst>
            </c:dLbl>
            <c:dLbl>
              <c:idx val="4"/>
              <c:layout>
                <c:manualLayout>
                  <c:x val="0"/>
                  <c:y val="-2.178649237472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94-414E-B3DA-17B716AEF946}"/>
                </c:ext>
              </c:extLst>
            </c:dLbl>
            <c:dLbl>
              <c:idx val="6"/>
              <c:layout>
                <c:manualLayout>
                  <c:x val="5.020902962669235E-3"/>
                  <c:y val="-1.3274336283185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BE-43D2-B7F3-A7F88AF9FD6E}"/>
                </c:ext>
              </c:extLst>
            </c:dLbl>
            <c:dLbl>
              <c:idx val="7"/>
              <c:layout>
                <c:manualLayout>
                  <c:x val="2.8776978417265134E-3"/>
                  <c:y val="-6.63716814159292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1BE-43D2-B7F3-A7F88AF9FD6E}"/>
                </c:ext>
              </c:extLst>
            </c:dLbl>
            <c:dLbl>
              <c:idx val="8"/>
              <c:layout>
                <c:manualLayout>
                  <c:x val="4.316546762589875E-3"/>
                  <c:y val="-8.84955752212389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BE-43D2-B7F3-A7F88AF9FD6E}"/>
                </c:ext>
              </c:extLst>
            </c:dLbl>
            <c:dLbl>
              <c:idx val="9"/>
              <c:layout>
                <c:manualLayout>
                  <c:x val="2.8776978417265134E-3"/>
                  <c:y val="-6.63716814159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BE-43D2-B7F3-A7F88AF9FD6E}"/>
                </c:ext>
              </c:extLst>
            </c:dLbl>
            <c:dLbl>
              <c:idx val="11"/>
              <c:layout>
                <c:manualLayout>
                  <c:x val="8.6330935251798559E-3"/>
                  <c:y val="-7.3439412484700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BE-43D2-B7F3-A7F88AF9FD6E}"/>
                </c:ext>
              </c:extLst>
            </c:dLbl>
            <c:dLbl>
              <c:idx val="12"/>
              <c:layout>
                <c:manualLayout>
                  <c:x val="7.1942446043165471E-3"/>
                  <c:y val="-4.89596083231336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BE-43D2-B7F3-A7F88AF9FD6E}"/>
                </c:ext>
              </c:extLst>
            </c:dLbl>
            <c:dLbl>
              <c:idx val="13"/>
              <c:layout>
                <c:manualLayout>
                  <c:x val="2.8777610126908921E-3"/>
                  <c:y val="-1.36105535827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1BE-43D2-B7F3-A7F88AF9FD6E}"/>
                </c:ext>
              </c:extLst>
            </c:dLbl>
            <c:dLbl>
              <c:idx val="14"/>
              <c:layout>
                <c:manualLayout>
                  <c:x val="1.1235937234464291E-2"/>
                  <c:y val="-1.9911504424778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BE-43D2-B7F3-A7F88AF9FD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132745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'2.3'!$A$5:$A$20</c:f>
              <c:strCache>
                <c:ptCount val="15"/>
                <c:pt idx="0">
                  <c:v>Nessuna azione perché non si intende aumentare la quota di mercato</c:v>
                </c:pt>
                <c:pt idx="2">
                  <c:v>Riduzione dei prezzi di vendita</c:v>
                </c:pt>
                <c:pt idx="3">
                  <c:v>Maggiori investimenti nel digitale</c:v>
                </c:pt>
                <c:pt idx="4">
                  <c:v>Maggiore qualità e innovazione di prodotto</c:v>
                </c:pt>
                <c:pt idx="6">
                  <c:v>Maggiore pubblicità/marketing</c:v>
                </c:pt>
                <c:pt idx="7">
                  <c:v>Più presenza commerciale in Italia</c:v>
                </c:pt>
                <c:pt idx="8">
                  <c:v>Più intermediari/esportatori</c:v>
                </c:pt>
                <c:pt idx="9">
                  <c:v>Maggiore presidio commerciale in Paesi stranieri non serviti</c:v>
                </c:pt>
                <c:pt idx="11">
                  <c:v>Acquisire competitors stranieri</c:v>
                </c:pt>
                <c:pt idx="12">
                  <c:v>Acquisire competitors italiani</c:v>
                </c:pt>
                <c:pt idx="13">
                  <c:v>Maggiori investimenti in produzione all'estero</c:v>
                </c:pt>
                <c:pt idx="14">
                  <c:v>Maggiori investimenti in produzione in Italia</c:v>
                </c:pt>
              </c:strCache>
            </c:strRef>
          </c:cat>
          <c:val>
            <c:numRef>
              <c:f>'2.3'!$C$5:$C$20</c:f>
              <c:numCache>
                <c:formatCode>General</c:formatCode>
                <c:ptCount val="16"/>
                <c:pt idx="0" formatCode="#,##0.0">
                  <c:v>4.5317220543806647</c:v>
                </c:pt>
                <c:pt idx="2" formatCode="#,##0.0">
                  <c:v>3.9274924471299091</c:v>
                </c:pt>
                <c:pt idx="3" formatCode="#,##0.0">
                  <c:v>22.054380664652566</c:v>
                </c:pt>
                <c:pt idx="4" formatCode="#,##0.0">
                  <c:v>62.839879154078545</c:v>
                </c:pt>
                <c:pt idx="6" formatCode="#,##0.0">
                  <c:v>32.326283987915403</c:v>
                </c:pt>
                <c:pt idx="7" formatCode="#,##0.0">
                  <c:v>22.658610271903324</c:v>
                </c:pt>
                <c:pt idx="8" formatCode="#,##0.0">
                  <c:v>15.105740181268882</c:v>
                </c:pt>
                <c:pt idx="9" formatCode="#,##0.0">
                  <c:v>11.48036253776435</c:v>
                </c:pt>
                <c:pt idx="11" formatCode="#,##0.0">
                  <c:v>9.667673716012084</c:v>
                </c:pt>
                <c:pt idx="12" formatCode="#,##0.0">
                  <c:v>12.084592145015106</c:v>
                </c:pt>
                <c:pt idx="13" formatCode="#,##0.0">
                  <c:v>14.501510574018129</c:v>
                </c:pt>
                <c:pt idx="14" formatCode="#,##0.0">
                  <c:v>60.725075528700913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1BE-43D2-B7F3-A7F88AF9FD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5"/>
        <c:overlap val="-70"/>
        <c:axId val="345279168"/>
        <c:axId val="345283760"/>
      </c:barChart>
      <c:catAx>
        <c:axId val="345279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rgbClr val="132745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345283760"/>
        <c:crosses val="autoZero"/>
        <c:auto val="1"/>
        <c:lblAlgn val="ctr"/>
        <c:lblOffset val="100"/>
        <c:noMultiLvlLbl val="0"/>
      </c:catAx>
      <c:valAx>
        <c:axId val="345283760"/>
        <c:scaling>
          <c:orientation val="minMax"/>
        </c:scaling>
        <c:delete val="1"/>
        <c:axPos val="b"/>
        <c:numFmt formatCode="#,##0.0" sourceLinked="1"/>
        <c:majorTickMark val="none"/>
        <c:minorTickMark val="none"/>
        <c:tickLblPos val="nextTo"/>
        <c:crossAx val="34527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075928793419652"/>
          <c:y val="0.94297265779354078"/>
          <c:w val="0.34970808439568635"/>
          <c:h val="4.7235420541832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rgbClr val="132745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rgbClr val="132745"/>
          </a:solidFill>
          <a:latin typeface="Century Gothic" panose="020B0502020202020204" pitchFamily="34" charset="0"/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32745"/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132745"/>
              </a:solidFill>
              <a:ln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C4-40E7-977C-656A419CA057}"/>
              </c:ext>
            </c:extLst>
          </c:dPt>
          <c:dPt>
            <c:idx val="1"/>
            <c:invertIfNegative val="0"/>
            <c:bubble3D val="0"/>
            <c:spPr>
              <a:solidFill>
                <a:srgbClr val="132745"/>
              </a:solidFill>
              <a:ln>
                <a:solidFill>
                  <a:schemeClr val="bg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C4-40E7-977C-656A419CA0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3366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'3.1'!$A$7:$A$11</c:f>
              <c:strCache>
                <c:ptCount val="5"/>
                <c:pt idx="0">
                  <c:v>Capitale Umano</c:v>
                </c:pt>
                <c:pt idx="1">
                  <c:v>Capitale Tecnico</c:v>
                </c:pt>
                <c:pt idx="2">
                  <c:v>Capitale Finanziario</c:v>
                </c:pt>
                <c:pt idx="3">
                  <c:v>Capitale Conoscitivo</c:v>
                </c:pt>
                <c:pt idx="4">
                  <c:v>Capitale Organizzativo</c:v>
                </c:pt>
              </c:strCache>
            </c:strRef>
          </c:cat>
          <c:val>
            <c:numRef>
              <c:f>'3.1'!$B$7:$B$11</c:f>
              <c:numCache>
                <c:formatCode>#,##0.0</c:formatCode>
                <c:ptCount val="5"/>
                <c:pt idx="0">
                  <c:v>4.5599999999999996</c:v>
                </c:pt>
                <c:pt idx="1">
                  <c:v>4.05</c:v>
                </c:pt>
                <c:pt idx="2">
                  <c:v>3.78</c:v>
                </c:pt>
                <c:pt idx="3">
                  <c:v>3.63</c:v>
                </c:pt>
                <c:pt idx="4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C4-40E7-977C-656A419CA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4289232"/>
        <c:axId val="534291856"/>
      </c:barChart>
      <c:catAx>
        <c:axId val="53428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003366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534291856"/>
        <c:crosses val="autoZero"/>
        <c:auto val="1"/>
        <c:lblAlgn val="ctr"/>
        <c:lblOffset val="100"/>
        <c:noMultiLvlLbl val="0"/>
      </c:catAx>
      <c:valAx>
        <c:axId val="534291856"/>
        <c:scaling>
          <c:orientation val="minMax"/>
          <c:min val="2.5"/>
        </c:scaling>
        <c:delete val="1"/>
        <c:axPos val="l"/>
        <c:numFmt formatCode="#,##0.0" sourceLinked="1"/>
        <c:majorTickMark val="none"/>
        <c:minorTickMark val="none"/>
        <c:tickLblPos val="nextTo"/>
        <c:crossAx val="534289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rgbClr val="002060"/>
          </a:solidFill>
          <a:latin typeface="Century Gothic" panose="020B0502020202020204" pitchFamily="34" charset="0"/>
        </a:defRPr>
      </a:pPr>
      <a:endParaRPr lang="it-IT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007169614585273E-3"/>
          <c:y val="0"/>
          <c:w val="0.96737804055157883"/>
          <c:h val="0.7533482703496532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ECD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3AD-4535-A868-DAC988AB220C}"/>
              </c:ext>
            </c:extLst>
          </c:dPt>
          <c:dPt>
            <c:idx val="1"/>
            <c:invertIfNegative val="0"/>
            <c:bubble3D val="0"/>
            <c:spPr>
              <a:solidFill>
                <a:srgbClr val="2B8FC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AD-4535-A868-DAC988AB220C}"/>
              </c:ext>
            </c:extLst>
          </c:dPt>
          <c:dPt>
            <c:idx val="2"/>
            <c:invertIfNegative val="0"/>
            <c:bubble3D val="0"/>
            <c:spPr>
              <a:solidFill>
                <a:srgbClr val="13274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3AD-4535-A868-DAC988AB220C}"/>
              </c:ext>
            </c:extLst>
          </c:dPt>
          <c:dPt>
            <c:idx val="3"/>
            <c:invertIfNegative val="0"/>
            <c:bubble3D val="0"/>
            <c:spPr>
              <a:solidFill>
                <a:srgbClr val="BE965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3AD-4535-A868-DAC988AB22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3366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X.3!$F$4:$I$4</c:f>
              <c:strCache>
                <c:ptCount val="4"/>
                <c:pt idx="0">
                  <c:v>MI che NON investono nella DT</c:v>
                </c:pt>
                <c:pt idx="1">
                  <c:v>MI che investono nella DT ma NON nel Capitale Umano</c:v>
                </c:pt>
                <c:pt idx="2">
                  <c:v>MI che investono nella DT e anche nel Capitale Umano</c:v>
                </c:pt>
                <c:pt idx="3">
                  <c:v>Totale MI</c:v>
                </c:pt>
              </c:strCache>
            </c:strRef>
          </c:cat>
          <c:val>
            <c:numRef>
              <c:f>X.3!$F$5:$I$5</c:f>
              <c:numCache>
                <c:formatCode>0%</c:formatCode>
                <c:ptCount val="4"/>
                <c:pt idx="0">
                  <c:v>0.29980675756126068</c:v>
                </c:pt>
                <c:pt idx="1">
                  <c:v>0.33651218256365645</c:v>
                </c:pt>
                <c:pt idx="2">
                  <c:v>0.46140613610645698</c:v>
                </c:pt>
                <c:pt idx="3">
                  <c:v>0.37120606849244242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AD-4535-A868-DAC988AB22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452608"/>
        <c:axId val="78461184"/>
      </c:barChart>
      <c:catAx>
        <c:axId val="7845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003366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78461184"/>
        <c:crosses val="autoZero"/>
        <c:auto val="1"/>
        <c:lblAlgn val="ctr"/>
        <c:lblOffset val="100"/>
        <c:noMultiLvlLbl val="0"/>
      </c:catAx>
      <c:valAx>
        <c:axId val="78461184"/>
        <c:scaling>
          <c:orientation val="minMax"/>
          <c:max val="0.60000000000000009"/>
          <c:min val="0.15000000000000002"/>
        </c:scaling>
        <c:delete val="1"/>
        <c:axPos val="l"/>
        <c:numFmt formatCode="0%" sourceLinked="1"/>
        <c:majorTickMark val="out"/>
        <c:minorTickMark val="none"/>
        <c:tickLblPos val="nextTo"/>
        <c:crossAx val="7845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rgbClr val="003366"/>
          </a:solidFill>
          <a:latin typeface="Century Gothic" panose="020B0502020202020204" pitchFamily="34" charset="0"/>
        </a:defRPr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6341826183879959"/>
          <c:y val="4.4246526315122686E-2"/>
          <c:w val="0.3155088004759532"/>
          <c:h val="0.890466929241723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'3.3Tag-UC'!$C$10</c:f>
              <c:strCache>
                <c:ptCount val="1"/>
                <c:pt idx="0">
                  <c:v>MI (familiari)</c:v>
                </c:pt>
              </c:strCache>
            </c:strRef>
          </c:tx>
          <c:spPr>
            <a:solidFill>
              <a:srgbClr val="13274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ECD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318-48A5-A481-9852E0F3E6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rgbClr val="003366"/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'3.3Tag-UC'!$B$11:$B$20</c:f>
              <c:strCache>
                <c:ptCount val="10"/>
                <c:pt idx="0">
                  <c:v>Nessuna pratica adottata</c:v>
                </c:pt>
                <c:pt idx="1">
                  <c:v>Percorsi di carriera accelerata</c:v>
                </c:pt>
                <c:pt idx="2">
                  <c:v>Coinvolgimento nelle decisioni aziendali</c:v>
                </c:pt>
                <c:pt idx="3">
                  <c:v>Smart-working</c:v>
                </c:pt>
                <c:pt idx="4">
                  <c:v>Incentivi per la formazione (anche esterna all'azienda)</c:v>
                </c:pt>
                <c:pt idx="5">
                  <c:v>Riconoscimento del lavoro svolto (es. specifici prodotti, brevetti, ecc.)</c:v>
                </c:pt>
                <c:pt idx="6">
                  <c:v>Maggiore autonomia sulle mansioni</c:v>
                </c:pt>
                <c:pt idx="7">
                  <c:v>Flessibilità dell'orario di lavoro</c:v>
                </c:pt>
                <c:pt idx="8">
                  <c:v>Benefit aziendali</c:v>
                </c:pt>
                <c:pt idx="9">
                  <c:v>Incrementi salariali</c:v>
                </c:pt>
              </c:strCache>
            </c:strRef>
          </c:cat>
          <c:val>
            <c:numRef>
              <c:f>'3.3Tag-UC'!$C$11:$C$20</c:f>
              <c:numCache>
                <c:formatCode>0%</c:formatCode>
                <c:ptCount val="10"/>
                <c:pt idx="0">
                  <c:v>0.16294616943735288</c:v>
                </c:pt>
                <c:pt idx="1">
                  <c:v>7.2292217556280861E-2</c:v>
                </c:pt>
                <c:pt idx="2">
                  <c:v>0.11946840038868303</c:v>
                </c:pt>
                <c:pt idx="3">
                  <c:v>0.13255928460871158</c:v>
                </c:pt>
                <c:pt idx="4">
                  <c:v>0.14487902654356069</c:v>
                </c:pt>
                <c:pt idx="5">
                  <c:v>0.17606588986116126</c:v>
                </c:pt>
                <c:pt idx="6">
                  <c:v>0.18647057447535725</c:v>
                </c:pt>
                <c:pt idx="7">
                  <c:v>0.26928584165193314</c:v>
                </c:pt>
                <c:pt idx="8">
                  <c:v>0.2915087234510137</c:v>
                </c:pt>
                <c:pt idx="9">
                  <c:v>0.49544412042715891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18-48A5-A481-9852E0F3E6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2"/>
        <c:axId val="79581184"/>
        <c:axId val="79589376"/>
      </c:barChart>
      <c:catAx>
        <c:axId val="7958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rgbClr val="003366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it-IT"/>
          </a:p>
        </c:txPr>
        <c:crossAx val="79589376"/>
        <c:crosses val="autoZero"/>
        <c:auto val="1"/>
        <c:lblAlgn val="ctr"/>
        <c:lblOffset val="100"/>
        <c:noMultiLvlLbl val="0"/>
      </c:catAx>
      <c:valAx>
        <c:axId val="79589376"/>
        <c:scaling>
          <c:orientation val="minMax"/>
          <c:max val="0.60000000000000009"/>
          <c:min val="0"/>
        </c:scaling>
        <c:delete val="1"/>
        <c:axPos val="b"/>
        <c:numFmt formatCode="0%" sourceLinked="1"/>
        <c:majorTickMark val="out"/>
        <c:minorTickMark val="none"/>
        <c:tickLblPos val="nextTo"/>
        <c:crossAx val="79581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rgbClr val="132745"/>
          </a:solidFill>
          <a:latin typeface="Century Gothic" panose="020B0502020202020204" pitchFamily="34" charset="0"/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10.svg" /><Relationship Id="rId3" Type="http://schemas.openxmlformats.org/officeDocument/2006/relationships/image" Target="../media/image5.png" /><Relationship Id="rId7" Type="http://schemas.openxmlformats.org/officeDocument/2006/relationships/image" Target="../media/image9.png" /><Relationship Id="rId2" Type="http://schemas.openxmlformats.org/officeDocument/2006/relationships/image" Target="../media/image4.svg" /><Relationship Id="rId1" Type="http://schemas.openxmlformats.org/officeDocument/2006/relationships/image" Target="../media/image3.png" /><Relationship Id="rId6" Type="http://schemas.openxmlformats.org/officeDocument/2006/relationships/image" Target="../media/image8.svg" /><Relationship Id="rId5" Type="http://schemas.openxmlformats.org/officeDocument/2006/relationships/image" Target="../media/image7.png" /><Relationship Id="rId4" Type="http://schemas.openxmlformats.org/officeDocument/2006/relationships/image" Target="../media/image6.svg" 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0.27925</cdr:x>
      <cdr:y>0.55195</cdr:y>
    </cdr:from>
    <cdr:to>
      <cdr:x>0.34183</cdr:x>
      <cdr:y>0.68967</cdr:y>
    </cdr:to>
    <cdr:pic>
      <cdr:nvPicPr>
        <cdr:cNvPr id="3" name="Elemento grafico 2" descr="Ingranaggi">
          <a:extLst xmlns:a="http://schemas.openxmlformats.org/drawingml/2006/main">
            <a:ext uri="{FF2B5EF4-FFF2-40B4-BE49-F238E27FC236}">
              <a16:creationId xmlns:a16="http://schemas.microsoft.com/office/drawing/2014/main" id="{245FA465-B539-43FC-8D14-C08C61B10D26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2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558297" y="1399500"/>
          <a:ext cx="349217" cy="3492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0.46946</cdr:x>
      <cdr:y>0.56671</cdr:y>
    </cdr:from>
    <cdr:to>
      <cdr:x>0.53204</cdr:x>
      <cdr:y>0.70638</cdr:y>
    </cdr:to>
    <cdr:pic>
      <cdr:nvPicPr>
        <cdr:cNvPr id="5" name="Elemento grafico 4" descr="Euro">
          <a:extLst xmlns:a="http://schemas.openxmlformats.org/drawingml/2006/main">
            <a:ext uri="{FF2B5EF4-FFF2-40B4-BE49-F238E27FC236}">
              <a16:creationId xmlns:a16="http://schemas.microsoft.com/office/drawing/2014/main" id="{EBDF8835-8949-42BC-BF1A-0950C7521BF8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4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2619761" y="1436915"/>
          <a:ext cx="349235" cy="35415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0.65952</cdr:x>
      <cdr:y>0.57345</cdr:y>
    </cdr:from>
    <cdr:to>
      <cdr:x>0.7221</cdr:x>
      <cdr:y>0.71117</cdr:y>
    </cdr:to>
    <cdr:pic>
      <cdr:nvPicPr>
        <cdr:cNvPr id="7" name="Elemento grafico 6" descr="Lampadina e ingranaggio">
          <a:extLst xmlns:a="http://schemas.openxmlformats.org/drawingml/2006/main">
            <a:ext uri="{FF2B5EF4-FFF2-40B4-BE49-F238E27FC236}">
              <a16:creationId xmlns:a16="http://schemas.microsoft.com/office/drawing/2014/main" id="{4F5E14F6-ADC1-4661-B3CF-069AACC5B47C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6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680372" y="1454012"/>
          <a:ext cx="349240" cy="3492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0.85035</cdr:x>
      <cdr:y>0.58011</cdr:y>
    </cdr:from>
    <cdr:to>
      <cdr:x>0.91292</cdr:x>
      <cdr:y>0.71783</cdr:y>
    </cdr:to>
    <cdr:pic>
      <cdr:nvPicPr>
        <cdr:cNvPr id="9" name="Elemento grafico 8" descr="Presentazione con organigramma">
          <a:extLst xmlns:a="http://schemas.openxmlformats.org/drawingml/2006/main">
            <a:ext uri="{FF2B5EF4-FFF2-40B4-BE49-F238E27FC236}">
              <a16:creationId xmlns:a16="http://schemas.microsoft.com/office/drawing/2014/main" id="{798481CE-11E9-4A8B-8D9C-6AD186F94266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7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:asvg="http://schemas.microsoft.com/office/drawing/2016/SVG/main" r:embed="rId8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745264" y="1470900"/>
          <a:ext cx="349189" cy="3492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C98A-72C2-4343-AFDA-17D04F53EB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FORMAT%20COMUNICATO.dot</Template>
  <TotalTime>0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Unioncamere</Company>
  <LinksUpToDate>false</LinksUpToDate>
  <CharactersWithSpaces>13521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2023-07-05T09:42:00Z</cp:lastPrinted>
  <dcterms:created xsi:type="dcterms:W3CDTF">2023-07-07T08:45:00Z</dcterms:created>
  <dcterms:modified xsi:type="dcterms:W3CDTF">2023-07-07T08:45:00Z</dcterms:modified>
</cp:coreProperties>
</file>