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48986F" w14:textId="184C18E3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3A636BAC" w14:textId="77777777" w:rsidR="00D11523" w:rsidRDefault="00D11523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0A0CDA9B" w14:textId="77777777" w:rsidR="002B498E" w:rsidRDefault="002B498E">
      <w:pPr>
        <w:pStyle w:val="LO-normal"/>
        <w:jc w:val="left"/>
      </w:pPr>
      <w:r>
        <w:rPr>
          <w:rFonts w:ascii="Rasa" w:eastAsia="Rasa" w:hAnsi="Rasa" w:cs="Rasa"/>
          <w:color w:val="071D49"/>
        </w:rPr>
        <w:t>Comunicato stampa</w:t>
      </w:r>
    </w:p>
    <w:p w14:paraId="3E9951BC" w14:textId="40397053" w:rsidR="002E332D" w:rsidRDefault="002E332D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4F30EC7" w14:textId="77777777" w:rsidR="00CD325D" w:rsidRPr="00CD325D" w:rsidRDefault="00CD325D" w:rsidP="00CD325D">
      <w:pPr>
        <w:rPr>
          <w:rFonts w:asciiTheme="minorHAnsi" w:eastAsia="Calibri" w:hAnsiTheme="minorHAnsi" w:cstheme="minorHAnsi"/>
          <w:b/>
        </w:rPr>
      </w:pPr>
      <w:bookmarkStart w:id="0" w:name="_Hlk136869193"/>
    </w:p>
    <w:p w14:paraId="17F8C9F9" w14:textId="770C64D3" w:rsidR="0090409D" w:rsidRDefault="0090409D" w:rsidP="00BE6A8F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 w:rsidRPr="0090409D">
        <w:rPr>
          <w:rFonts w:ascii="Calibri" w:eastAsia="Calibri" w:hAnsi="Calibri" w:cs="Calibri"/>
          <w:b/>
          <w:sz w:val="32"/>
          <w:szCs w:val="32"/>
        </w:rPr>
        <w:t>Imprese giovanili</w:t>
      </w:r>
      <w:r w:rsidR="00BE6A8F">
        <w:rPr>
          <w:rFonts w:ascii="Calibri" w:eastAsia="Calibri" w:hAnsi="Calibri" w:cs="Calibri"/>
          <w:b/>
          <w:sz w:val="32"/>
          <w:szCs w:val="32"/>
        </w:rPr>
        <w:t xml:space="preserve">: </w:t>
      </w:r>
      <w:r w:rsidRPr="0090409D">
        <w:rPr>
          <w:rFonts w:ascii="Calibri" w:eastAsia="Calibri" w:hAnsi="Calibri" w:cs="Calibri"/>
          <w:b/>
          <w:sz w:val="32"/>
          <w:szCs w:val="32"/>
        </w:rPr>
        <w:t xml:space="preserve">più ottimiste </w:t>
      </w:r>
      <w:r>
        <w:rPr>
          <w:rFonts w:ascii="Calibri" w:eastAsia="Calibri" w:hAnsi="Calibri" w:cs="Calibri"/>
          <w:b/>
          <w:sz w:val="32"/>
          <w:szCs w:val="32"/>
        </w:rPr>
        <w:t>sul futuro</w:t>
      </w:r>
      <w:r w:rsidR="00AF38CD">
        <w:rPr>
          <w:rFonts w:ascii="Calibri" w:eastAsia="Calibri" w:hAnsi="Calibri" w:cs="Calibri"/>
          <w:b/>
          <w:sz w:val="32"/>
          <w:szCs w:val="32"/>
        </w:rPr>
        <w:t xml:space="preserve"> rispetto alle “over 35”</w:t>
      </w:r>
    </w:p>
    <w:p w14:paraId="13AE8449" w14:textId="77777777" w:rsidR="00AF38CD" w:rsidRDefault="00AF38CD" w:rsidP="00BE6A8F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40EDF613" w14:textId="62171B15" w:rsidR="00CD325D" w:rsidRDefault="0090409D" w:rsidP="00CD325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 w:rsidRPr="0090409D">
        <w:rPr>
          <w:rFonts w:ascii="Calibri" w:eastAsia="Calibri" w:hAnsi="Calibri" w:cs="Calibri"/>
          <w:b/>
          <w:sz w:val="32"/>
          <w:szCs w:val="32"/>
        </w:rPr>
        <w:t>Una su due prevede aumenti di fatturato nel 2023</w:t>
      </w:r>
    </w:p>
    <w:p w14:paraId="0D33742D" w14:textId="2E6EFB72" w:rsidR="0090409D" w:rsidRPr="00CD325D" w:rsidRDefault="0090409D" w:rsidP="00CD325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 w:rsidRPr="0090409D">
        <w:rPr>
          <w:rFonts w:ascii="Calibri" w:eastAsia="Calibri" w:hAnsi="Calibri" w:cs="Calibri"/>
          <w:b/>
          <w:sz w:val="32"/>
          <w:szCs w:val="32"/>
        </w:rPr>
        <w:t>Un terzo stima incrementi occupazionali</w:t>
      </w:r>
    </w:p>
    <w:p w14:paraId="753937A9" w14:textId="6FC7E45F" w:rsidR="00CD325D" w:rsidRPr="00CD325D" w:rsidRDefault="0090409D" w:rsidP="00CD325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 w:rsidRPr="0090409D">
        <w:rPr>
          <w:rFonts w:ascii="Calibri" w:eastAsia="Calibri" w:hAnsi="Calibri" w:cs="Calibri"/>
          <w:b/>
          <w:sz w:val="32"/>
          <w:szCs w:val="32"/>
        </w:rPr>
        <w:t xml:space="preserve">Il 36% investirà nella doppia transizione </w:t>
      </w:r>
    </w:p>
    <w:bookmarkEnd w:id="0"/>
    <w:p w14:paraId="295537AB" w14:textId="13A4C5D8" w:rsidR="0090409D" w:rsidRDefault="0090409D" w:rsidP="0090409D">
      <w:pPr>
        <w:jc w:val="center"/>
        <w:rPr>
          <w:rFonts w:ascii="Calibri" w:eastAsia="Calibri" w:hAnsi="Calibri" w:cs="Calibri"/>
          <w:b/>
          <w:sz w:val="32"/>
          <w:szCs w:val="32"/>
          <w:lang w:eastAsia="zh-CN" w:bidi="hi-IN"/>
        </w:rPr>
      </w:pPr>
      <w:r>
        <w:rPr>
          <w:rFonts w:ascii="Calibri" w:eastAsia="Calibri" w:hAnsi="Calibri" w:cs="Calibri"/>
          <w:b/>
          <w:sz w:val="32"/>
          <w:szCs w:val="32"/>
          <w:lang w:eastAsia="zh-CN" w:bidi="hi-IN"/>
        </w:rPr>
        <w:t>Ma risorse economiche scarse al top dei pensieri</w:t>
      </w:r>
    </w:p>
    <w:p w14:paraId="314AB123" w14:textId="0BBE948A" w:rsidR="00447C70" w:rsidRDefault="0090409D" w:rsidP="0090409D">
      <w:pPr>
        <w:jc w:val="center"/>
        <w:rPr>
          <w:rFonts w:asciiTheme="minorHAnsi" w:eastAsia="Calibri" w:hAnsiTheme="minorHAnsi" w:cstheme="minorHAnsi"/>
        </w:rPr>
      </w:pPr>
      <w:proofErr w:type="spellStart"/>
      <w:r w:rsidRPr="0090409D">
        <w:rPr>
          <w:rFonts w:ascii="Calibri" w:eastAsia="Calibri" w:hAnsi="Calibri" w:cs="Calibri"/>
          <w:b/>
          <w:sz w:val="32"/>
          <w:szCs w:val="32"/>
          <w:lang w:eastAsia="zh-CN" w:bidi="hi-IN"/>
        </w:rPr>
        <w:t>Pnrr</w:t>
      </w:r>
      <w:proofErr w:type="spellEnd"/>
      <w:r w:rsidRPr="0090409D">
        <w:rPr>
          <w:rFonts w:ascii="Calibri" w:eastAsia="Calibri" w:hAnsi="Calibri" w:cs="Calibri"/>
          <w:b/>
          <w:sz w:val="32"/>
          <w:szCs w:val="32"/>
          <w:lang w:eastAsia="zh-CN" w:bidi="hi-IN"/>
        </w:rPr>
        <w:t>, peso burocrazia frena 7 imprese giovanili su 10</w:t>
      </w:r>
    </w:p>
    <w:p w14:paraId="6EAE6E5F" w14:textId="77777777" w:rsidR="0090409D" w:rsidRDefault="0090409D" w:rsidP="0090409D">
      <w:pPr>
        <w:jc w:val="center"/>
        <w:rPr>
          <w:rFonts w:asciiTheme="minorHAnsi" w:eastAsia="Calibri" w:hAnsiTheme="minorHAnsi" w:cstheme="minorHAnsi"/>
        </w:rPr>
      </w:pPr>
    </w:p>
    <w:p w14:paraId="3F75A459" w14:textId="77777777" w:rsidR="0090409D" w:rsidRDefault="0090409D" w:rsidP="0090409D">
      <w:pPr>
        <w:jc w:val="both"/>
        <w:rPr>
          <w:rFonts w:asciiTheme="minorHAnsi" w:eastAsia="Calibri" w:hAnsiTheme="minorHAnsi" w:cstheme="minorHAnsi"/>
        </w:rPr>
      </w:pPr>
    </w:p>
    <w:p w14:paraId="5FDB0125" w14:textId="77777777" w:rsidR="0090409D" w:rsidRDefault="0090409D" w:rsidP="0090409D">
      <w:pPr>
        <w:jc w:val="both"/>
        <w:rPr>
          <w:rFonts w:asciiTheme="minorHAnsi" w:eastAsia="Calibri" w:hAnsiTheme="minorHAnsi" w:cstheme="minorHAnsi"/>
        </w:rPr>
      </w:pPr>
    </w:p>
    <w:p w14:paraId="6B8D5F2B" w14:textId="796FF329" w:rsidR="0090409D" w:rsidRPr="0090409D" w:rsidRDefault="002B498E" w:rsidP="0090409D">
      <w:pPr>
        <w:jc w:val="both"/>
        <w:rPr>
          <w:rFonts w:asciiTheme="minorHAnsi" w:eastAsia="Calibri" w:hAnsiTheme="minorHAnsi" w:cstheme="minorHAnsi"/>
        </w:rPr>
      </w:pPr>
      <w:r w:rsidRPr="008F5FBD">
        <w:rPr>
          <w:rFonts w:asciiTheme="minorHAnsi" w:eastAsia="Calibri" w:hAnsiTheme="minorHAnsi" w:cstheme="minorHAnsi"/>
        </w:rPr>
        <w:t xml:space="preserve">Roma, </w:t>
      </w:r>
      <w:r w:rsidR="00C1148F">
        <w:rPr>
          <w:rFonts w:asciiTheme="minorHAnsi" w:eastAsia="Calibri" w:hAnsiTheme="minorHAnsi" w:cstheme="minorHAnsi"/>
        </w:rPr>
        <w:t>28</w:t>
      </w:r>
      <w:r w:rsidRPr="008F5FBD">
        <w:rPr>
          <w:rFonts w:asciiTheme="minorHAnsi" w:eastAsia="Calibri" w:hAnsiTheme="minorHAnsi" w:cstheme="minorHAnsi"/>
        </w:rPr>
        <w:t xml:space="preserve"> </w:t>
      </w:r>
      <w:r w:rsidR="00C1148F">
        <w:rPr>
          <w:rFonts w:asciiTheme="minorHAnsi" w:eastAsia="Calibri" w:hAnsiTheme="minorHAnsi" w:cstheme="minorHAnsi"/>
        </w:rPr>
        <w:t>agosto</w:t>
      </w:r>
      <w:r w:rsidRPr="008F5FBD">
        <w:rPr>
          <w:rFonts w:asciiTheme="minorHAnsi" w:eastAsia="Calibri" w:hAnsiTheme="minorHAnsi" w:cstheme="minorHAnsi"/>
        </w:rPr>
        <w:t xml:space="preserve"> 202</w:t>
      </w:r>
      <w:r w:rsidR="00353738" w:rsidRPr="008F5FBD">
        <w:rPr>
          <w:rFonts w:asciiTheme="minorHAnsi" w:eastAsia="Calibri" w:hAnsiTheme="minorHAnsi" w:cstheme="minorHAnsi"/>
        </w:rPr>
        <w:t>3</w:t>
      </w:r>
      <w:r w:rsidRPr="008F5FBD">
        <w:rPr>
          <w:rFonts w:asciiTheme="minorHAnsi" w:eastAsia="Calibri" w:hAnsiTheme="minorHAnsi" w:cstheme="minorHAnsi"/>
        </w:rPr>
        <w:t xml:space="preserve"> </w:t>
      </w:r>
      <w:r w:rsidR="00315E63" w:rsidRPr="00DF0B41">
        <w:rPr>
          <w:rFonts w:asciiTheme="minorHAnsi" w:eastAsia="Calibri" w:hAnsiTheme="minorHAnsi" w:cstheme="minorHAnsi"/>
        </w:rPr>
        <w:t>–</w:t>
      </w:r>
      <w:r w:rsidR="0090409D" w:rsidRPr="00DF0B41">
        <w:rPr>
          <w:rFonts w:asciiTheme="minorHAnsi" w:eastAsia="Calibri" w:hAnsiTheme="minorHAnsi" w:cstheme="minorHAnsi"/>
        </w:rPr>
        <w:t xml:space="preserve"> </w:t>
      </w:r>
      <w:r w:rsidR="00315E63" w:rsidRPr="00DF0B41">
        <w:rPr>
          <w:rFonts w:asciiTheme="minorHAnsi" w:eastAsia="Calibri" w:hAnsiTheme="minorHAnsi" w:cstheme="minorHAnsi"/>
        </w:rPr>
        <w:t xml:space="preserve">Sono più </w:t>
      </w:r>
      <w:r w:rsidR="0054273C" w:rsidRPr="00DF0B41">
        <w:rPr>
          <w:rFonts w:asciiTheme="minorHAnsi" w:eastAsia="Calibri" w:hAnsiTheme="minorHAnsi" w:cstheme="minorHAnsi"/>
        </w:rPr>
        <w:t>fiduciose</w:t>
      </w:r>
      <w:r w:rsidR="00315E63" w:rsidRPr="00DF0B41">
        <w:rPr>
          <w:rFonts w:asciiTheme="minorHAnsi" w:eastAsia="Calibri" w:hAnsiTheme="minorHAnsi" w:cstheme="minorHAnsi"/>
        </w:rPr>
        <w:t xml:space="preserve"> </w:t>
      </w:r>
      <w:r w:rsidR="0054273C" w:rsidRPr="00DF0B41">
        <w:rPr>
          <w:rFonts w:asciiTheme="minorHAnsi" w:eastAsia="Calibri" w:hAnsiTheme="minorHAnsi" w:cstheme="minorHAnsi"/>
        </w:rPr>
        <w:t>per il</w:t>
      </w:r>
      <w:r w:rsidR="00315E63" w:rsidRPr="00DF0B41">
        <w:rPr>
          <w:rFonts w:asciiTheme="minorHAnsi" w:eastAsia="Calibri" w:hAnsiTheme="minorHAnsi" w:cstheme="minorHAnsi"/>
        </w:rPr>
        <w:t xml:space="preserve"> futuro rispetto alle </w:t>
      </w:r>
      <w:r w:rsidR="00A372D6">
        <w:rPr>
          <w:rFonts w:asciiTheme="minorHAnsi" w:eastAsia="Calibri" w:hAnsiTheme="minorHAnsi" w:cstheme="minorHAnsi"/>
        </w:rPr>
        <w:t xml:space="preserve">loro </w:t>
      </w:r>
      <w:r w:rsidR="00FE765A" w:rsidRPr="00DF0B41">
        <w:rPr>
          <w:rFonts w:asciiTheme="minorHAnsi" w:eastAsia="Calibri" w:hAnsiTheme="minorHAnsi" w:cstheme="minorHAnsi"/>
        </w:rPr>
        <w:t xml:space="preserve">colleghe </w:t>
      </w:r>
      <w:r w:rsidR="00315E63" w:rsidRPr="00DF0B41">
        <w:rPr>
          <w:rFonts w:asciiTheme="minorHAnsi" w:eastAsia="Calibri" w:hAnsiTheme="minorHAnsi" w:cstheme="minorHAnsi"/>
        </w:rPr>
        <w:t>“over 35”: f</w:t>
      </w:r>
      <w:r w:rsidR="0090409D" w:rsidRPr="00DF0B41">
        <w:rPr>
          <w:rFonts w:asciiTheme="minorHAnsi" w:eastAsia="Calibri" w:hAnsiTheme="minorHAnsi" w:cstheme="minorHAnsi"/>
        </w:rPr>
        <w:t xml:space="preserve">atturano, assumono e innovano di più, ma sono meno presenti all’estero </w:t>
      </w:r>
      <w:r w:rsidR="0032639F" w:rsidRPr="00DF0B41">
        <w:rPr>
          <w:rFonts w:asciiTheme="minorHAnsi" w:eastAsia="Calibri" w:hAnsiTheme="minorHAnsi" w:cstheme="minorHAnsi"/>
        </w:rPr>
        <w:t xml:space="preserve">e </w:t>
      </w:r>
      <w:r w:rsidR="0090409D" w:rsidRPr="00DF0B41">
        <w:rPr>
          <w:rFonts w:asciiTheme="minorHAnsi" w:eastAsia="Calibri" w:hAnsiTheme="minorHAnsi" w:cstheme="minorHAnsi"/>
        </w:rPr>
        <w:t xml:space="preserve">le barriere economiche rischiano di frenarne la crescita. È l’identikit </w:t>
      </w:r>
      <w:r w:rsidR="00FE765A" w:rsidRPr="00DF0B41">
        <w:rPr>
          <w:rFonts w:asciiTheme="minorHAnsi" w:eastAsia="Calibri" w:hAnsiTheme="minorHAnsi" w:cstheme="minorHAnsi"/>
        </w:rPr>
        <w:t xml:space="preserve">delle </w:t>
      </w:r>
      <w:r w:rsidR="0090409D" w:rsidRPr="00DF0B41">
        <w:rPr>
          <w:rFonts w:asciiTheme="minorHAnsi" w:eastAsia="Calibri" w:hAnsiTheme="minorHAnsi" w:cstheme="minorHAnsi"/>
        </w:rPr>
        <w:t>imprese guidate dai giovani</w:t>
      </w:r>
      <w:r w:rsidR="00B358B2" w:rsidRPr="00DF0B41">
        <w:rPr>
          <w:rFonts w:asciiTheme="minorHAnsi" w:eastAsia="Calibri" w:hAnsiTheme="minorHAnsi" w:cstheme="minorHAnsi"/>
        </w:rPr>
        <w:t xml:space="preserve"> under 35</w:t>
      </w:r>
      <w:r w:rsidR="00FE765A" w:rsidRPr="00DF0B41">
        <w:rPr>
          <w:rFonts w:asciiTheme="minorHAnsi" w:eastAsia="Calibri" w:hAnsiTheme="minorHAnsi" w:cstheme="minorHAnsi"/>
        </w:rPr>
        <w:t xml:space="preserve"> </w:t>
      </w:r>
      <w:r w:rsidR="002C68E8" w:rsidRPr="00DF0B41">
        <w:rPr>
          <w:rFonts w:asciiTheme="minorHAnsi" w:eastAsia="Calibri" w:hAnsiTheme="minorHAnsi" w:cstheme="minorHAnsi"/>
        </w:rPr>
        <w:t>tracciato</w:t>
      </w:r>
      <w:r w:rsidR="0090409D" w:rsidRPr="00DF0B41">
        <w:rPr>
          <w:rFonts w:asciiTheme="minorHAnsi" w:eastAsia="Calibri" w:hAnsiTheme="minorHAnsi" w:cstheme="minorHAnsi"/>
        </w:rPr>
        <w:t xml:space="preserve"> dal </w:t>
      </w:r>
      <w:r w:rsidR="0090409D" w:rsidRPr="00DF0B41">
        <w:rPr>
          <w:rFonts w:asciiTheme="minorHAnsi" w:eastAsia="Calibri" w:hAnsiTheme="minorHAnsi" w:cstheme="minorHAnsi"/>
          <w:b/>
          <w:bCs/>
        </w:rPr>
        <w:t>Centro Studi Tagliacarne</w:t>
      </w:r>
      <w:r w:rsidR="0090409D" w:rsidRPr="00DF0B41">
        <w:rPr>
          <w:rFonts w:asciiTheme="minorHAnsi" w:eastAsia="Calibri" w:hAnsiTheme="minorHAnsi" w:cstheme="minorHAnsi"/>
        </w:rPr>
        <w:t xml:space="preserve"> </w:t>
      </w:r>
      <w:r w:rsidR="00FE765A" w:rsidRPr="00DF0B41">
        <w:rPr>
          <w:rFonts w:asciiTheme="minorHAnsi" w:eastAsia="Calibri" w:hAnsiTheme="minorHAnsi" w:cstheme="minorHAnsi"/>
        </w:rPr>
        <w:t xml:space="preserve">confrontando le loro aspettative di crescita </w:t>
      </w:r>
      <w:r w:rsidR="0054273C" w:rsidRPr="00DF0B41">
        <w:rPr>
          <w:rFonts w:asciiTheme="minorHAnsi" w:eastAsia="Calibri" w:hAnsiTheme="minorHAnsi" w:cstheme="minorHAnsi"/>
        </w:rPr>
        <w:t xml:space="preserve">per il 2023 e il 2024 </w:t>
      </w:r>
      <w:r w:rsidR="00A3451A" w:rsidRPr="00DF0B41">
        <w:rPr>
          <w:rFonts w:asciiTheme="minorHAnsi" w:eastAsia="Calibri" w:hAnsiTheme="minorHAnsi" w:cstheme="minorHAnsi"/>
        </w:rPr>
        <w:t>con</w:t>
      </w:r>
      <w:r w:rsidR="00FE765A">
        <w:rPr>
          <w:rFonts w:asciiTheme="minorHAnsi" w:eastAsia="Calibri" w:hAnsiTheme="minorHAnsi" w:cstheme="minorHAnsi"/>
        </w:rPr>
        <w:t xml:space="preserve"> </w:t>
      </w:r>
      <w:r w:rsidR="00A3451A">
        <w:rPr>
          <w:rFonts w:asciiTheme="minorHAnsi" w:eastAsia="Calibri" w:hAnsiTheme="minorHAnsi" w:cstheme="minorHAnsi"/>
        </w:rPr>
        <w:t xml:space="preserve">quelle </w:t>
      </w:r>
      <w:r w:rsidR="0054273C">
        <w:rPr>
          <w:rFonts w:asciiTheme="minorHAnsi" w:eastAsia="Calibri" w:hAnsiTheme="minorHAnsi" w:cstheme="minorHAnsi"/>
        </w:rPr>
        <w:t xml:space="preserve">delle </w:t>
      </w:r>
      <w:r w:rsidR="00D93E9F">
        <w:rPr>
          <w:rFonts w:asciiTheme="minorHAnsi" w:eastAsia="Calibri" w:hAnsiTheme="minorHAnsi" w:cstheme="minorHAnsi"/>
        </w:rPr>
        <w:t>non giovanili</w:t>
      </w:r>
      <w:r w:rsidR="000100A7">
        <w:rPr>
          <w:rFonts w:asciiTheme="minorHAnsi" w:eastAsia="Calibri" w:hAnsiTheme="minorHAnsi" w:cstheme="minorHAnsi"/>
        </w:rPr>
        <w:t xml:space="preserve"> sulla base di</w:t>
      </w:r>
      <w:r w:rsidR="0090409D" w:rsidRPr="0090409D">
        <w:rPr>
          <w:rFonts w:asciiTheme="minorHAnsi" w:eastAsia="Calibri" w:hAnsiTheme="minorHAnsi" w:cstheme="minorHAnsi"/>
        </w:rPr>
        <w:t xml:space="preserve"> un’indagine condotta su un </w:t>
      </w:r>
      <w:r w:rsidR="00B358B2" w:rsidRPr="00021BBE">
        <w:rPr>
          <w:rFonts w:asciiTheme="minorHAnsi" w:eastAsia="Calibri" w:hAnsiTheme="minorHAnsi" w:cstheme="minorHAnsi"/>
        </w:rPr>
        <w:t xml:space="preserve">campione di 4.000 imprese </w:t>
      </w:r>
      <w:r w:rsidR="0090409D" w:rsidRPr="0090409D">
        <w:rPr>
          <w:rFonts w:asciiTheme="minorHAnsi" w:eastAsia="Calibri" w:hAnsiTheme="minorHAnsi" w:cstheme="minorHAnsi"/>
        </w:rPr>
        <w:t>manifatturiere e dei servizi con una forza lavoro tra i 5-499 addetti.</w:t>
      </w:r>
    </w:p>
    <w:p w14:paraId="26613150" w14:textId="77777777" w:rsidR="0090409D" w:rsidRDefault="0090409D" w:rsidP="0090409D">
      <w:pPr>
        <w:jc w:val="both"/>
        <w:rPr>
          <w:rFonts w:asciiTheme="minorHAnsi" w:eastAsia="Calibri" w:hAnsiTheme="minorHAnsi" w:cstheme="minorHAnsi"/>
        </w:rPr>
      </w:pPr>
    </w:p>
    <w:p w14:paraId="2988F3ED" w14:textId="67DE2790" w:rsidR="0090409D" w:rsidRPr="0090409D" w:rsidRDefault="0090409D" w:rsidP="0090409D">
      <w:pPr>
        <w:jc w:val="both"/>
        <w:rPr>
          <w:rFonts w:asciiTheme="minorHAnsi" w:eastAsia="Calibri" w:hAnsiTheme="minorHAnsi" w:cstheme="minorHAnsi"/>
        </w:rPr>
      </w:pPr>
      <w:r w:rsidRPr="0090409D">
        <w:rPr>
          <w:rFonts w:asciiTheme="minorHAnsi" w:eastAsia="Calibri" w:hAnsiTheme="minorHAnsi" w:cstheme="minorHAnsi"/>
        </w:rPr>
        <w:t>Secondo i dati</w:t>
      </w:r>
      <w:r w:rsidR="00997941">
        <w:rPr>
          <w:rFonts w:asciiTheme="minorHAnsi" w:eastAsia="Calibri" w:hAnsiTheme="minorHAnsi" w:cstheme="minorHAnsi"/>
        </w:rPr>
        <w:t xml:space="preserve"> dell’indagine</w:t>
      </w:r>
      <w:r w:rsidRPr="0090409D">
        <w:rPr>
          <w:rFonts w:asciiTheme="minorHAnsi" w:eastAsia="Calibri" w:hAnsiTheme="minorHAnsi" w:cstheme="minorHAnsi"/>
        </w:rPr>
        <w:t xml:space="preserve">, il 49% delle imprese under 35 prevede per quest’anno di aumentare il fatturato contro il 42% delle non giovanili. E per il 2024 le attese di crescita restano positive per il 43% delle imprese giovanili (contro il 34%). In aumento pure le previsioni occupazionali per il 31% delle imprese capitanate dai giovani per il 2023 (contro il 23%) e per il 23% del campione nel 2024 (contro il 18%). Anche perché sarà necessario equipaggiarsi con personale qualificato per sfruttare al meglio gli investimenti in programma nella duplice transizione: tra il 2023 e il 2025, il 36% delle imprese under 35 intende investire </w:t>
      </w:r>
      <w:r w:rsidR="00D426BD">
        <w:rPr>
          <w:rFonts w:asciiTheme="minorHAnsi" w:eastAsia="Calibri" w:hAnsiTheme="minorHAnsi" w:cstheme="minorHAnsi"/>
        </w:rPr>
        <w:t xml:space="preserve">contemporaneamente </w:t>
      </w:r>
      <w:r w:rsidRPr="0090409D">
        <w:rPr>
          <w:rFonts w:asciiTheme="minorHAnsi" w:eastAsia="Calibri" w:hAnsiTheme="minorHAnsi" w:cstheme="minorHAnsi"/>
        </w:rPr>
        <w:t xml:space="preserve">in digitale e green (contro il 28%). </w:t>
      </w:r>
    </w:p>
    <w:p w14:paraId="060295F4" w14:textId="77777777" w:rsidR="0090409D" w:rsidRPr="0090409D" w:rsidRDefault="0090409D" w:rsidP="0090409D">
      <w:pPr>
        <w:jc w:val="both"/>
        <w:rPr>
          <w:rFonts w:asciiTheme="minorHAnsi" w:eastAsia="Calibri" w:hAnsiTheme="minorHAnsi" w:cstheme="minorHAnsi"/>
        </w:rPr>
      </w:pPr>
    </w:p>
    <w:p w14:paraId="77F3708F" w14:textId="57A0592B" w:rsidR="00B358B2" w:rsidRPr="00021BBE" w:rsidRDefault="0090409D" w:rsidP="00B358B2">
      <w:pPr>
        <w:jc w:val="both"/>
        <w:rPr>
          <w:rFonts w:asciiTheme="minorHAnsi" w:eastAsia="Calibri" w:hAnsiTheme="minorHAnsi" w:cstheme="minorHAnsi"/>
        </w:rPr>
      </w:pPr>
      <w:r w:rsidRPr="0090409D">
        <w:rPr>
          <w:rFonts w:asciiTheme="minorHAnsi" w:eastAsia="Calibri" w:hAnsiTheme="minorHAnsi" w:cstheme="minorHAnsi"/>
        </w:rPr>
        <w:t>Tuttavia, in termini di export le imprese giovanili mostrano un ritardo rispetto alle loro colleghe più “mature”: il 38% delle aziende under 35 esporterà nel 2023 a fronte del 45% delle non giovanili. E per il prossimo anno, pur se la presenza degli imprenditori giovani sui mercati stranieri è attesa in aumento, la distanza “generazionale” all’estero resterà inalterata di 7 punti percentuali quando ad esportare sarà il 40% delle imprese giovanili contro il 47% delle altre.</w:t>
      </w:r>
      <w:r w:rsidR="00B358B2">
        <w:rPr>
          <w:rFonts w:asciiTheme="minorHAnsi" w:eastAsia="Calibri" w:hAnsiTheme="minorHAnsi" w:cstheme="minorHAnsi"/>
        </w:rPr>
        <w:t xml:space="preserve"> </w:t>
      </w:r>
      <w:r w:rsidR="001D23CF" w:rsidRPr="00021BBE">
        <w:rPr>
          <w:rFonts w:asciiTheme="minorHAnsi" w:eastAsia="Calibri" w:hAnsiTheme="minorHAnsi" w:cstheme="minorHAnsi"/>
        </w:rPr>
        <w:t>Ma</w:t>
      </w:r>
      <w:r w:rsidR="00B358B2" w:rsidRPr="00021BBE">
        <w:rPr>
          <w:rFonts w:asciiTheme="minorHAnsi" w:eastAsia="Calibri" w:hAnsiTheme="minorHAnsi" w:cstheme="minorHAnsi"/>
        </w:rPr>
        <w:t xml:space="preserve"> al Sud la presenza delle imprese under 35 sui mercati esteri è ancora più bassa: nel 2023 esporterà solo il 26% e nel 2024 il 27%.</w:t>
      </w:r>
    </w:p>
    <w:p w14:paraId="5480B941" w14:textId="41C0C2C7" w:rsidR="00C51DD5" w:rsidRDefault="00C51DD5" w:rsidP="00C51DD5">
      <w:pPr>
        <w:rPr>
          <w:rFonts w:asciiTheme="minorHAnsi" w:eastAsia="Calibri" w:hAnsiTheme="minorHAnsi" w:cstheme="minorHAnsi"/>
        </w:rPr>
      </w:pPr>
    </w:p>
    <w:p w14:paraId="2977F091" w14:textId="60199C41" w:rsidR="00C51DD5" w:rsidRPr="00C51DD5" w:rsidRDefault="00C51DD5" w:rsidP="00C51DD5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“</w:t>
      </w:r>
      <w:r w:rsidRPr="00C51DD5">
        <w:rPr>
          <w:rFonts w:asciiTheme="minorHAnsi" w:eastAsia="Calibri" w:hAnsiTheme="minorHAnsi" w:cstheme="minorHAnsi"/>
        </w:rPr>
        <w:t xml:space="preserve">La scelta imprenditoriale </w:t>
      </w:r>
      <w:r>
        <w:rPr>
          <w:rFonts w:asciiTheme="minorHAnsi" w:eastAsia="Calibri" w:hAnsiTheme="minorHAnsi" w:cstheme="minorHAnsi"/>
        </w:rPr>
        <w:t>per i giovani è</w:t>
      </w:r>
      <w:r w:rsidRPr="00C51DD5">
        <w:rPr>
          <w:rFonts w:asciiTheme="minorHAnsi" w:eastAsia="Calibri" w:hAnsiTheme="minorHAnsi" w:cstheme="minorHAnsi"/>
        </w:rPr>
        <w:t xml:space="preserve"> </w:t>
      </w:r>
      <w:r w:rsidR="003D4259">
        <w:rPr>
          <w:rFonts w:asciiTheme="minorHAnsi" w:eastAsia="Calibri" w:hAnsiTheme="minorHAnsi" w:cstheme="minorHAnsi"/>
        </w:rPr>
        <w:t xml:space="preserve">sempre </w:t>
      </w:r>
      <w:r w:rsidRPr="00C51DD5">
        <w:rPr>
          <w:rFonts w:asciiTheme="minorHAnsi" w:eastAsia="Calibri" w:hAnsiTheme="minorHAnsi" w:cstheme="minorHAnsi"/>
        </w:rPr>
        <w:t>più selettiva rispetto al passato</w:t>
      </w:r>
      <w:r w:rsidR="00FF68AD">
        <w:rPr>
          <w:rFonts w:asciiTheme="minorHAnsi" w:eastAsia="Calibri" w:hAnsiTheme="minorHAnsi" w:cstheme="minorHAnsi"/>
        </w:rPr>
        <w:t xml:space="preserve"> </w:t>
      </w:r>
      <w:r w:rsidR="00673A8B">
        <w:rPr>
          <w:rFonts w:asciiTheme="minorHAnsi" w:eastAsia="Calibri" w:hAnsiTheme="minorHAnsi" w:cstheme="minorHAnsi"/>
        </w:rPr>
        <w:t xml:space="preserve">e </w:t>
      </w:r>
      <w:r w:rsidR="00FF68AD">
        <w:rPr>
          <w:rFonts w:asciiTheme="minorHAnsi" w:eastAsia="Calibri" w:hAnsiTheme="minorHAnsi" w:cstheme="minorHAnsi"/>
        </w:rPr>
        <w:t>meno legata all’autoimp</w:t>
      </w:r>
      <w:r w:rsidR="00AD7D55">
        <w:rPr>
          <w:rFonts w:asciiTheme="minorHAnsi" w:eastAsia="Calibri" w:hAnsiTheme="minorHAnsi" w:cstheme="minorHAnsi"/>
        </w:rPr>
        <w:t>i</w:t>
      </w:r>
      <w:r w:rsidR="00FF68AD">
        <w:rPr>
          <w:rFonts w:asciiTheme="minorHAnsi" w:eastAsia="Calibri" w:hAnsiTheme="minorHAnsi" w:cstheme="minorHAnsi"/>
        </w:rPr>
        <w:t>ego</w:t>
      </w:r>
      <w:r w:rsidRPr="00C51DD5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come dimostra il calo </w:t>
      </w:r>
      <w:r w:rsidR="003D4259">
        <w:rPr>
          <w:rFonts w:asciiTheme="minorHAnsi" w:eastAsia="Calibri" w:hAnsiTheme="minorHAnsi" w:cstheme="minorHAnsi"/>
        </w:rPr>
        <w:t xml:space="preserve">di circa il 13% </w:t>
      </w:r>
      <w:r>
        <w:rPr>
          <w:rFonts w:asciiTheme="minorHAnsi" w:eastAsia="Calibri" w:hAnsiTheme="minorHAnsi" w:cstheme="minorHAnsi"/>
        </w:rPr>
        <w:t>delle imprese under 35</w:t>
      </w:r>
      <w:r w:rsidR="003D4259">
        <w:rPr>
          <w:rFonts w:asciiTheme="minorHAnsi" w:eastAsia="Calibri" w:hAnsiTheme="minorHAnsi" w:cstheme="minorHAnsi"/>
        </w:rPr>
        <w:t xml:space="preserve"> registrato nell’ultimo </w:t>
      </w:r>
      <w:r w:rsidR="00673A8B">
        <w:rPr>
          <w:rFonts w:asciiTheme="minorHAnsi" w:eastAsia="Calibri" w:hAnsiTheme="minorHAnsi" w:cstheme="minorHAnsi"/>
        </w:rPr>
        <w:t>dec</w:t>
      </w:r>
      <w:r w:rsidR="003D4259">
        <w:rPr>
          <w:rFonts w:asciiTheme="minorHAnsi" w:eastAsia="Calibri" w:hAnsiTheme="minorHAnsi" w:cstheme="minorHAnsi"/>
        </w:rPr>
        <w:t>ennio</w:t>
      </w:r>
      <w:r w:rsidR="00673A8B">
        <w:rPr>
          <w:rFonts w:asciiTheme="minorHAnsi" w:eastAsia="Calibri" w:hAnsiTheme="minorHAnsi" w:cstheme="minorHAnsi"/>
        </w:rPr>
        <w:t xml:space="preserve"> al netto dell’andame</w:t>
      </w:r>
      <w:r w:rsidR="003D4259">
        <w:rPr>
          <w:rFonts w:asciiTheme="minorHAnsi" w:eastAsia="Calibri" w:hAnsiTheme="minorHAnsi" w:cstheme="minorHAnsi"/>
        </w:rPr>
        <w:t xml:space="preserve">nto </w:t>
      </w:r>
      <w:r w:rsidR="00673A8B">
        <w:rPr>
          <w:rFonts w:asciiTheme="minorHAnsi" w:eastAsia="Calibri" w:hAnsiTheme="minorHAnsi" w:cstheme="minorHAnsi"/>
        </w:rPr>
        <w:t>demografico</w:t>
      </w:r>
      <w:r>
        <w:rPr>
          <w:rFonts w:asciiTheme="minorHAnsi" w:eastAsia="Calibri" w:hAnsiTheme="minorHAnsi" w:cstheme="minorHAnsi"/>
        </w:rPr>
        <w:t>.</w:t>
      </w:r>
      <w:r w:rsidRPr="00C51DD5">
        <w:rPr>
          <w:rFonts w:asciiTheme="minorHAnsi" w:eastAsia="Calibri" w:hAnsiTheme="minorHAnsi" w:cstheme="minorHAnsi"/>
        </w:rPr>
        <w:t xml:space="preserve"> </w:t>
      </w:r>
      <w:r w:rsidR="003D4259">
        <w:rPr>
          <w:rFonts w:asciiTheme="minorHAnsi" w:eastAsia="Calibri" w:hAnsiTheme="minorHAnsi" w:cstheme="minorHAnsi"/>
        </w:rPr>
        <w:t>È</w:t>
      </w:r>
      <w:r>
        <w:rPr>
          <w:rFonts w:asciiTheme="minorHAnsi" w:eastAsia="Calibri" w:hAnsiTheme="minorHAnsi" w:cstheme="minorHAnsi"/>
        </w:rPr>
        <w:t xml:space="preserve"> quanto evidenzia </w:t>
      </w:r>
      <w:r w:rsidRPr="00021BBE">
        <w:rPr>
          <w:rFonts w:asciiTheme="minorHAnsi" w:eastAsia="Calibri" w:hAnsiTheme="minorHAnsi" w:cstheme="minorHAnsi"/>
          <w:b/>
          <w:bCs/>
        </w:rPr>
        <w:lastRenderedPageBreak/>
        <w:t xml:space="preserve">Gaetano Fausto Esposito, direttore generale del </w:t>
      </w:r>
      <w:r w:rsidR="003D4259">
        <w:rPr>
          <w:rFonts w:asciiTheme="minorHAnsi" w:eastAsia="Calibri" w:hAnsiTheme="minorHAnsi" w:cstheme="minorHAnsi"/>
          <w:b/>
          <w:bCs/>
        </w:rPr>
        <w:t>C</w:t>
      </w:r>
      <w:r w:rsidRPr="00021BBE">
        <w:rPr>
          <w:rFonts w:asciiTheme="minorHAnsi" w:eastAsia="Calibri" w:hAnsiTheme="minorHAnsi" w:cstheme="minorHAnsi"/>
          <w:b/>
          <w:bCs/>
        </w:rPr>
        <w:t>entro Studi Tagliacarne</w:t>
      </w:r>
      <w:r w:rsidR="00FF68AD">
        <w:rPr>
          <w:rFonts w:asciiTheme="minorHAnsi" w:eastAsia="Calibri" w:hAnsiTheme="minorHAnsi" w:cstheme="minorHAnsi"/>
        </w:rPr>
        <w:t>, anche per questo l’</w:t>
      </w:r>
      <w:r w:rsidRPr="00C51DD5">
        <w:rPr>
          <w:rFonts w:asciiTheme="minorHAnsi" w:eastAsia="Calibri" w:hAnsiTheme="minorHAnsi" w:cstheme="minorHAnsi"/>
        </w:rPr>
        <w:t xml:space="preserve">imprenditoria </w:t>
      </w:r>
      <w:r w:rsidR="00FF68AD">
        <w:rPr>
          <w:rFonts w:asciiTheme="minorHAnsi" w:eastAsia="Calibri" w:hAnsiTheme="minorHAnsi" w:cstheme="minorHAnsi"/>
        </w:rPr>
        <w:t xml:space="preserve">giovanile </w:t>
      </w:r>
      <w:r w:rsidRPr="00C51DD5">
        <w:rPr>
          <w:rFonts w:asciiTheme="minorHAnsi" w:eastAsia="Calibri" w:hAnsiTheme="minorHAnsi" w:cstheme="minorHAnsi"/>
        </w:rPr>
        <w:t xml:space="preserve">si proietta con maggior fiducia sul mercato. </w:t>
      </w:r>
      <w:r w:rsidR="00FF68AD">
        <w:rPr>
          <w:rFonts w:asciiTheme="minorHAnsi" w:eastAsia="Calibri" w:hAnsiTheme="minorHAnsi" w:cstheme="minorHAnsi"/>
        </w:rPr>
        <w:t>Tuttavia</w:t>
      </w:r>
      <w:r w:rsidR="00673A8B">
        <w:rPr>
          <w:rFonts w:asciiTheme="minorHAnsi" w:eastAsia="Calibri" w:hAnsiTheme="minorHAnsi" w:cstheme="minorHAnsi"/>
        </w:rPr>
        <w:t>,</w:t>
      </w:r>
      <w:r w:rsidR="00FF68AD">
        <w:rPr>
          <w:rFonts w:asciiTheme="minorHAnsi" w:eastAsia="Calibri" w:hAnsiTheme="minorHAnsi" w:cstheme="minorHAnsi"/>
        </w:rPr>
        <w:t xml:space="preserve"> </w:t>
      </w:r>
      <w:r w:rsidRPr="00021BBE">
        <w:rPr>
          <w:rFonts w:asciiTheme="minorHAnsi" w:eastAsia="Calibri" w:hAnsiTheme="minorHAnsi" w:cstheme="minorHAnsi"/>
          <w:color w:val="000000" w:themeColor="text1"/>
        </w:rPr>
        <w:t>queste imprese scontano assetti meno</w:t>
      </w:r>
      <w:r w:rsidR="003D4259" w:rsidRPr="00021BBE">
        <w:rPr>
          <w:rFonts w:asciiTheme="minorHAnsi" w:eastAsia="Calibri" w:hAnsiTheme="minorHAnsi" w:cstheme="minorHAnsi"/>
          <w:color w:val="000000" w:themeColor="text1"/>
        </w:rPr>
        <w:t xml:space="preserve"> strutturati</w:t>
      </w:r>
      <w:r w:rsidRPr="00021BBE">
        <w:rPr>
          <w:rFonts w:asciiTheme="minorHAnsi" w:eastAsia="Calibri" w:hAnsiTheme="minorHAnsi" w:cstheme="minorHAnsi"/>
          <w:color w:val="000000" w:themeColor="text1"/>
        </w:rPr>
        <w:t xml:space="preserve">, </w:t>
      </w:r>
      <w:r w:rsidR="00673A8B" w:rsidRPr="00021BBE">
        <w:rPr>
          <w:rFonts w:asciiTheme="minorHAnsi" w:eastAsia="Calibri" w:hAnsiTheme="minorHAnsi" w:cstheme="minorHAnsi"/>
          <w:color w:val="000000" w:themeColor="text1"/>
        </w:rPr>
        <w:t xml:space="preserve">e questo </w:t>
      </w:r>
      <w:r w:rsidR="003D4259" w:rsidRPr="00021BBE">
        <w:rPr>
          <w:rFonts w:asciiTheme="minorHAnsi" w:eastAsia="Calibri" w:hAnsiTheme="minorHAnsi" w:cstheme="minorHAnsi"/>
          <w:color w:val="000000" w:themeColor="text1"/>
        </w:rPr>
        <w:t>spiega</w:t>
      </w:r>
      <w:r w:rsidR="00673A8B" w:rsidRPr="00021BBE">
        <w:rPr>
          <w:rFonts w:asciiTheme="minorHAnsi" w:eastAsia="Calibri" w:hAnsiTheme="minorHAnsi" w:cstheme="minorHAnsi"/>
          <w:color w:val="000000" w:themeColor="text1"/>
        </w:rPr>
        <w:t xml:space="preserve"> anche la </w:t>
      </w:r>
      <w:r w:rsidR="003D4259" w:rsidRPr="00021BBE">
        <w:rPr>
          <w:rFonts w:asciiTheme="minorHAnsi" w:eastAsia="Calibri" w:hAnsiTheme="minorHAnsi" w:cstheme="minorHAnsi"/>
          <w:color w:val="000000" w:themeColor="text1"/>
        </w:rPr>
        <w:t xml:space="preserve">loro </w:t>
      </w:r>
      <w:r w:rsidR="00673A8B" w:rsidRPr="00021BBE">
        <w:rPr>
          <w:rFonts w:asciiTheme="minorHAnsi" w:eastAsia="Calibri" w:hAnsiTheme="minorHAnsi" w:cstheme="minorHAnsi"/>
          <w:color w:val="000000" w:themeColor="text1"/>
        </w:rPr>
        <w:t xml:space="preserve">minore </w:t>
      </w:r>
      <w:r w:rsidRPr="00C51DD5">
        <w:rPr>
          <w:rFonts w:asciiTheme="minorHAnsi" w:eastAsia="Calibri" w:hAnsiTheme="minorHAnsi" w:cstheme="minorHAnsi"/>
        </w:rPr>
        <w:t xml:space="preserve">presenza </w:t>
      </w:r>
      <w:r w:rsidR="00673A8B">
        <w:rPr>
          <w:rFonts w:asciiTheme="minorHAnsi" w:eastAsia="Calibri" w:hAnsiTheme="minorHAnsi" w:cstheme="minorHAnsi"/>
        </w:rPr>
        <w:t>all’estero</w:t>
      </w:r>
      <w:r w:rsidRPr="00C51DD5">
        <w:rPr>
          <w:rFonts w:asciiTheme="minorHAnsi" w:eastAsia="Calibri" w:hAnsiTheme="minorHAnsi" w:cstheme="minorHAnsi"/>
        </w:rPr>
        <w:t xml:space="preserve"> che </w:t>
      </w:r>
      <w:r w:rsidR="003D4259">
        <w:rPr>
          <w:rFonts w:asciiTheme="minorHAnsi" w:eastAsia="Calibri" w:hAnsiTheme="minorHAnsi" w:cstheme="minorHAnsi"/>
        </w:rPr>
        <w:t>deve, invece, essere sostenuta perché pure per gli imprenditori giovani l’</w:t>
      </w:r>
      <w:r w:rsidRPr="00C51DD5">
        <w:rPr>
          <w:rFonts w:asciiTheme="minorHAnsi" w:eastAsia="Calibri" w:hAnsiTheme="minorHAnsi" w:cstheme="minorHAnsi"/>
        </w:rPr>
        <w:t>internazional</w:t>
      </w:r>
      <w:r w:rsidR="003D4259">
        <w:rPr>
          <w:rFonts w:asciiTheme="minorHAnsi" w:eastAsia="Calibri" w:hAnsiTheme="minorHAnsi" w:cstheme="minorHAnsi"/>
        </w:rPr>
        <w:t xml:space="preserve">izzazione è una leva strategica </w:t>
      </w:r>
      <w:r w:rsidRPr="00C51DD5">
        <w:rPr>
          <w:rFonts w:asciiTheme="minorHAnsi" w:eastAsia="Calibri" w:hAnsiTheme="minorHAnsi" w:cstheme="minorHAnsi"/>
        </w:rPr>
        <w:t>in</w:t>
      </w:r>
      <w:r w:rsidR="003D4259">
        <w:rPr>
          <w:rFonts w:asciiTheme="minorHAnsi" w:eastAsia="Calibri" w:hAnsiTheme="minorHAnsi" w:cstheme="minorHAnsi"/>
        </w:rPr>
        <w:t>dispensabile per crescere</w:t>
      </w:r>
      <w:r w:rsidRPr="00C51DD5">
        <w:rPr>
          <w:rFonts w:asciiTheme="minorHAnsi" w:eastAsia="Calibri" w:hAnsiTheme="minorHAnsi" w:cstheme="minorHAnsi"/>
        </w:rPr>
        <w:t xml:space="preserve">. </w:t>
      </w:r>
    </w:p>
    <w:p w14:paraId="19BA832E" w14:textId="77777777" w:rsidR="0090409D" w:rsidRPr="0090409D" w:rsidRDefault="0090409D" w:rsidP="0090409D">
      <w:pPr>
        <w:jc w:val="both"/>
        <w:rPr>
          <w:rFonts w:asciiTheme="minorHAnsi" w:eastAsia="Calibri" w:hAnsiTheme="minorHAnsi" w:cstheme="minorHAnsi"/>
        </w:rPr>
      </w:pPr>
    </w:p>
    <w:p w14:paraId="23474BBD" w14:textId="77777777" w:rsidR="0090409D" w:rsidRPr="0090409D" w:rsidRDefault="0090409D" w:rsidP="0090409D">
      <w:pPr>
        <w:jc w:val="both"/>
        <w:rPr>
          <w:rFonts w:asciiTheme="minorHAnsi" w:eastAsia="Calibri" w:hAnsiTheme="minorHAnsi" w:cstheme="minorHAnsi"/>
          <w:b/>
          <w:bCs/>
        </w:rPr>
      </w:pPr>
      <w:proofErr w:type="gramStart"/>
      <w:r w:rsidRPr="0090409D">
        <w:rPr>
          <w:rFonts w:asciiTheme="minorHAnsi" w:eastAsia="Calibri" w:hAnsiTheme="minorHAnsi" w:cstheme="minorHAnsi"/>
          <w:b/>
          <w:bCs/>
        </w:rPr>
        <w:t>..</w:t>
      </w:r>
      <w:proofErr w:type="gramEnd"/>
      <w:r w:rsidRPr="0090409D">
        <w:rPr>
          <w:rFonts w:asciiTheme="minorHAnsi" w:eastAsia="Calibri" w:hAnsiTheme="minorHAnsi" w:cstheme="minorHAnsi"/>
          <w:b/>
          <w:bCs/>
        </w:rPr>
        <w:t>ma gli under 35 sono più positivi sulle vendite oltreconfine</w:t>
      </w:r>
    </w:p>
    <w:p w14:paraId="013144D7" w14:textId="4D00233A" w:rsidR="0090409D" w:rsidRPr="0090409D" w:rsidRDefault="0090409D" w:rsidP="0090409D">
      <w:pPr>
        <w:jc w:val="both"/>
        <w:rPr>
          <w:rFonts w:asciiTheme="minorHAnsi" w:eastAsia="Calibri" w:hAnsiTheme="minorHAnsi" w:cstheme="minorHAnsi"/>
        </w:rPr>
      </w:pPr>
      <w:r w:rsidRPr="0090409D">
        <w:rPr>
          <w:rFonts w:asciiTheme="minorHAnsi" w:eastAsia="Calibri" w:hAnsiTheme="minorHAnsi" w:cstheme="minorHAnsi"/>
        </w:rPr>
        <w:t>Nonostante la minore presenza sui mercati stranieri, le imprese giovanili che esportano sembrano però avere una marcia in più: per il 2023 il 44% prevede aumenti delle vendite all’estero contro il 33% delle non giovanili mentre per il 2024 incrementi sono stimati dal 42% del campione (contro il 31%). Nel complesso, per aumentare le vendite oltreconfine, le imprese giovanili contano di utilizzare principalmente strategie improntate sulla qualità dei prodotti (42%) e investimenti in comunicazione e branding (24%)</w:t>
      </w:r>
    </w:p>
    <w:p w14:paraId="5A2AA1E7" w14:textId="77777777" w:rsidR="0090409D" w:rsidRPr="0090409D" w:rsidRDefault="0090409D" w:rsidP="0090409D">
      <w:pPr>
        <w:jc w:val="both"/>
        <w:rPr>
          <w:rFonts w:asciiTheme="minorHAnsi" w:eastAsia="Calibri" w:hAnsiTheme="minorHAnsi" w:cstheme="minorHAnsi"/>
        </w:rPr>
      </w:pPr>
    </w:p>
    <w:p w14:paraId="309204CB" w14:textId="77777777" w:rsidR="0090409D" w:rsidRPr="0090409D" w:rsidRDefault="0090409D" w:rsidP="0090409D">
      <w:pPr>
        <w:jc w:val="both"/>
        <w:rPr>
          <w:rFonts w:asciiTheme="minorHAnsi" w:eastAsia="Calibri" w:hAnsiTheme="minorHAnsi" w:cstheme="minorHAnsi"/>
          <w:b/>
          <w:bCs/>
        </w:rPr>
      </w:pPr>
      <w:r w:rsidRPr="0090409D">
        <w:rPr>
          <w:rFonts w:asciiTheme="minorHAnsi" w:eastAsia="Calibri" w:hAnsiTheme="minorHAnsi" w:cstheme="minorHAnsi"/>
          <w:b/>
          <w:bCs/>
        </w:rPr>
        <w:t>Barriere economiche minano la transizione green e digitale</w:t>
      </w:r>
    </w:p>
    <w:p w14:paraId="6CCEB7EF" w14:textId="7A44CEAF" w:rsidR="0090409D" w:rsidRPr="0090409D" w:rsidRDefault="0090409D" w:rsidP="0090409D">
      <w:pPr>
        <w:jc w:val="both"/>
        <w:rPr>
          <w:rFonts w:asciiTheme="minorHAnsi" w:eastAsia="Calibri" w:hAnsiTheme="minorHAnsi" w:cstheme="minorHAnsi"/>
        </w:rPr>
      </w:pPr>
      <w:r w:rsidRPr="0090409D">
        <w:rPr>
          <w:rFonts w:asciiTheme="minorHAnsi" w:eastAsia="Calibri" w:hAnsiTheme="minorHAnsi" w:cstheme="minorHAnsi"/>
        </w:rPr>
        <w:t xml:space="preserve">Le imprese giovanili investiranno di più delle altre nella transizione green e digitale. Tra 2023 e il 2025, il 53% delle imprese giovanili investirà in green e il 48% in digitale (contro rispettivamente il 45% e il 41% delle over 35). </w:t>
      </w:r>
      <w:r w:rsidR="00D426BD">
        <w:rPr>
          <w:rFonts w:asciiTheme="minorHAnsi" w:eastAsia="Calibri" w:hAnsiTheme="minorHAnsi" w:cstheme="minorHAnsi"/>
        </w:rPr>
        <w:t xml:space="preserve">Mentre </w:t>
      </w:r>
      <w:r w:rsidR="00D426BD" w:rsidRPr="00D426BD">
        <w:rPr>
          <w:rFonts w:asciiTheme="minorHAnsi" w:eastAsia="Calibri" w:hAnsiTheme="minorHAnsi" w:cstheme="minorHAnsi"/>
        </w:rPr>
        <w:t xml:space="preserve">il 36% delle imprese under 35 </w:t>
      </w:r>
      <w:r w:rsidR="00D426BD">
        <w:rPr>
          <w:rFonts w:asciiTheme="minorHAnsi" w:eastAsia="Calibri" w:hAnsiTheme="minorHAnsi" w:cstheme="minorHAnsi"/>
        </w:rPr>
        <w:t xml:space="preserve">ha in programma di </w:t>
      </w:r>
      <w:r w:rsidR="00D426BD" w:rsidRPr="00D426BD">
        <w:rPr>
          <w:rFonts w:asciiTheme="minorHAnsi" w:eastAsia="Calibri" w:hAnsiTheme="minorHAnsi" w:cstheme="minorHAnsi"/>
        </w:rPr>
        <w:t>investire contemporaneamente in digitale e green</w:t>
      </w:r>
      <w:r w:rsidR="00D426BD">
        <w:rPr>
          <w:rFonts w:asciiTheme="minorHAnsi" w:eastAsia="Calibri" w:hAnsiTheme="minorHAnsi" w:cstheme="minorHAnsi"/>
        </w:rPr>
        <w:t>.</w:t>
      </w:r>
    </w:p>
    <w:p w14:paraId="51734402" w14:textId="7CA1388A" w:rsidR="0090409D" w:rsidRPr="00021BBE" w:rsidRDefault="0090409D" w:rsidP="0090409D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021BBE">
        <w:rPr>
          <w:rFonts w:asciiTheme="minorHAnsi" w:eastAsia="Calibri" w:hAnsiTheme="minorHAnsi" w:cstheme="minorHAnsi"/>
          <w:color w:val="000000" w:themeColor="text1"/>
        </w:rPr>
        <w:t>Ma le risorse economiche insufficienti all’interno dell’azienda e i tassi di interesse elevati per l’accesso al credito sono il principale ostacolo che rischia di intralciare il loro cammino verso la transizione. Le barriere economiche</w:t>
      </w:r>
      <w:r w:rsidR="00D426BD" w:rsidRPr="00021BBE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021BBE">
        <w:rPr>
          <w:rFonts w:asciiTheme="minorHAnsi" w:eastAsia="Calibri" w:hAnsiTheme="minorHAnsi" w:cstheme="minorHAnsi"/>
          <w:color w:val="000000" w:themeColor="text1"/>
        </w:rPr>
        <w:t>sono un problema</w:t>
      </w:r>
      <w:r w:rsidR="00D426BD" w:rsidRPr="00021BBE">
        <w:rPr>
          <w:rFonts w:asciiTheme="minorHAnsi" w:eastAsia="Calibri" w:hAnsiTheme="minorHAnsi" w:cstheme="minorHAnsi"/>
          <w:color w:val="000000" w:themeColor="text1"/>
        </w:rPr>
        <w:t>, infatti,</w:t>
      </w:r>
      <w:r w:rsidRPr="00021BBE">
        <w:rPr>
          <w:rFonts w:asciiTheme="minorHAnsi" w:eastAsia="Calibri" w:hAnsiTheme="minorHAnsi" w:cstheme="minorHAnsi"/>
          <w:color w:val="000000" w:themeColor="text1"/>
        </w:rPr>
        <w:t xml:space="preserve"> per il 39% delle imprese giovanili che</w:t>
      </w:r>
      <w:r w:rsidR="00B358B2" w:rsidRPr="00021BBE">
        <w:rPr>
          <w:rFonts w:asciiTheme="minorHAnsi" w:eastAsia="Calibri" w:hAnsiTheme="minorHAnsi" w:cstheme="minorHAnsi"/>
          <w:color w:val="000000" w:themeColor="text1"/>
        </w:rPr>
        <w:t xml:space="preserve"> non</w:t>
      </w:r>
      <w:r w:rsidRPr="00021BBE">
        <w:rPr>
          <w:rFonts w:asciiTheme="minorHAnsi" w:eastAsia="Calibri" w:hAnsiTheme="minorHAnsi" w:cstheme="minorHAnsi"/>
          <w:color w:val="000000" w:themeColor="text1"/>
        </w:rPr>
        <w:t xml:space="preserve"> intendono investire nella sostenibilità (contro il 31% delle non giovanili) e per il 45% che prevede</w:t>
      </w:r>
      <w:r w:rsidR="00B358B2" w:rsidRPr="00021BBE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1D23CF" w:rsidRPr="00021BBE">
        <w:rPr>
          <w:rFonts w:asciiTheme="minorHAnsi" w:eastAsia="Calibri" w:hAnsiTheme="minorHAnsi" w:cstheme="minorHAnsi"/>
          <w:color w:val="000000" w:themeColor="text1"/>
        </w:rPr>
        <w:t xml:space="preserve">di </w:t>
      </w:r>
      <w:r w:rsidR="00B358B2" w:rsidRPr="00021BBE">
        <w:rPr>
          <w:rFonts w:asciiTheme="minorHAnsi" w:eastAsia="Calibri" w:hAnsiTheme="minorHAnsi" w:cstheme="minorHAnsi"/>
          <w:color w:val="000000" w:themeColor="text1"/>
        </w:rPr>
        <w:t>non fare</w:t>
      </w:r>
      <w:r w:rsidRPr="00021BBE">
        <w:rPr>
          <w:rFonts w:asciiTheme="minorHAnsi" w:eastAsia="Calibri" w:hAnsiTheme="minorHAnsi" w:cstheme="minorHAnsi"/>
          <w:color w:val="000000" w:themeColor="text1"/>
        </w:rPr>
        <w:t xml:space="preserve"> investimenti 4.0 </w:t>
      </w:r>
      <w:r w:rsidR="00B358B2" w:rsidRPr="00021BBE">
        <w:rPr>
          <w:rFonts w:asciiTheme="minorHAnsi" w:eastAsia="Calibri" w:hAnsiTheme="minorHAnsi" w:cstheme="minorHAnsi"/>
          <w:color w:val="000000" w:themeColor="text1"/>
        </w:rPr>
        <w:t>(contro 29% delle non giovanili).</w:t>
      </w:r>
    </w:p>
    <w:p w14:paraId="4E04E80D" w14:textId="77777777" w:rsidR="0090409D" w:rsidRPr="00021BBE" w:rsidRDefault="0090409D" w:rsidP="0090409D">
      <w:pPr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49BBB9B0" w14:textId="77777777" w:rsidR="00D426BD" w:rsidRPr="0090409D" w:rsidRDefault="00D426BD" w:rsidP="0090409D">
      <w:pPr>
        <w:jc w:val="both"/>
        <w:rPr>
          <w:rFonts w:asciiTheme="minorHAnsi" w:eastAsia="Calibri" w:hAnsiTheme="minorHAnsi" w:cstheme="minorHAnsi"/>
        </w:rPr>
      </w:pPr>
    </w:p>
    <w:p w14:paraId="2D472712" w14:textId="21BE84B5" w:rsidR="0090409D" w:rsidRPr="0090409D" w:rsidRDefault="0090409D" w:rsidP="0090409D">
      <w:pPr>
        <w:jc w:val="both"/>
        <w:rPr>
          <w:rFonts w:asciiTheme="minorHAnsi" w:eastAsia="Calibri" w:hAnsiTheme="minorHAnsi" w:cstheme="minorHAnsi"/>
          <w:b/>
          <w:bCs/>
        </w:rPr>
      </w:pPr>
      <w:proofErr w:type="spellStart"/>
      <w:r w:rsidRPr="0090409D">
        <w:rPr>
          <w:rFonts w:asciiTheme="minorHAnsi" w:eastAsia="Calibri" w:hAnsiTheme="minorHAnsi" w:cstheme="minorHAnsi"/>
          <w:b/>
          <w:bCs/>
        </w:rPr>
        <w:t>Pnrr</w:t>
      </w:r>
      <w:proofErr w:type="spellEnd"/>
      <w:r w:rsidRPr="0090409D">
        <w:rPr>
          <w:rFonts w:asciiTheme="minorHAnsi" w:eastAsia="Calibri" w:hAnsiTheme="minorHAnsi" w:cstheme="minorHAnsi"/>
          <w:b/>
          <w:bCs/>
        </w:rPr>
        <w:t xml:space="preserve">, </w:t>
      </w:r>
      <w:r w:rsidR="00D426BD">
        <w:rPr>
          <w:rFonts w:asciiTheme="minorHAnsi" w:eastAsia="Calibri" w:hAnsiTheme="minorHAnsi" w:cstheme="minorHAnsi"/>
          <w:b/>
          <w:bCs/>
        </w:rPr>
        <w:t xml:space="preserve">peso </w:t>
      </w:r>
      <w:r w:rsidRPr="0090409D">
        <w:rPr>
          <w:rFonts w:asciiTheme="minorHAnsi" w:eastAsia="Calibri" w:hAnsiTheme="minorHAnsi" w:cstheme="minorHAnsi"/>
          <w:b/>
          <w:bCs/>
        </w:rPr>
        <w:t xml:space="preserve">burocrazia ostacola 7 imprese giovanili su 10 </w:t>
      </w:r>
    </w:p>
    <w:p w14:paraId="1E67E427" w14:textId="1954371F" w:rsidR="00B358B2" w:rsidRPr="00021BBE" w:rsidRDefault="0090409D" w:rsidP="00B358B2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90409D">
        <w:rPr>
          <w:rFonts w:asciiTheme="minorHAnsi" w:eastAsia="Calibri" w:hAnsiTheme="minorHAnsi" w:cstheme="minorHAnsi"/>
        </w:rPr>
        <w:t xml:space="preserve">Se le risorse economiche sono problema, quelle del </w:t>
      </w:r>
      <w:proofErr w:type="spellStart"/>
      <w:r w:rsidRPr="0090409D">
        <w:rPr>
          <w:rFonts w:asciiTheme="minorHAnsi" w:eastAsia="Calibri" w:hAnsiTheme="minorHAnsi" w:cstheme="minorHAnsi"/>
        </w:rPr>
        <w:t>Pnrr</w:t>
      </w:r>
      <w:proofErr w:type="spellEnd"/>
      <w:r w:rsidRPr="0090409D">
        <w:rPr>
          <w:rFonts w:asciiTheme="minorHAnsi" w:eastAsia="Calibri" w:hAnsiTheme="minorHAnsi" w:cstheme="minorHAnsi"/>
        </w:rPr>
        <w:t xml:space="preserve"> possono essere una boccata di ossigeno. Così il 9% delle imprese giovanili si è già attivata sui progetti di supporto alle imprese legati al PNRR e il 19% ha in programma di attivarsi. Tuttavia, l’eccessiva burocrazia </w:t>
      </w:r>
      <w:r w:rsidRPr="00021BBE">
        <w:rPr>
          <w:rFonts w:asciiTheme="minorHAnsi" w:eastAsia="Calibri" w:hAnsiTheme="minorHAnsi" w:cstheme="minorHAnsi"/>
          <w:color w:val="000000" w:themeColor="text1"/>
        </w:rPr>
        <w:t>è per 7 imprese giovanili su 10 di gran lunga l’ostacolo maggiore</w:t>
      </w:r>
      <w:r w:rsidR="00021BBE">
        <w:rPr>
          <w:rFonts w:asciiTheme="minorHAnsi" w:eastAsia="Calibri" w:hAnsiTheme="minorHAnsi" w:cstheme="minorHAnsi"/>
          <w:color w:val="000000" w:themeColor="text1"/>
        </w:rPr>
        <w:t>.</w:t>
      </w:r>
    </w:p>
    <w:p w14:paraId="637D499C" w14:textId="77777777" w:rsidR="00E61D57" w:rsidRPr="00021BBE" w:rsidRDefault="00E61D57" w:rsidP="00B358B2">
      <w:pPr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5A54376C" w14:textId="77777777" w:rsidR="00E61D57" w:rsidRPr="00021BBE" w:rsidRDefault="00E61D57" w:rsidP="00E61D5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" w:name="_Hlk141095952"/>
    </w:p>
    <w:p w14:paraId="4B83B985" w14:textId="77777777" w:rsidR="00E61D57" w:rsidRDefault="00E61D57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C71441C" w14:textId="77777777" w:rsidR="00E61D57" w:rsidRDefault="00E61D57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2DDBDD1" w14:textId="77777777" w:rsidR="00E61D57" w:rsidRDefault="00E61D57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FD5906C" w14:textId="77777777" w:rsidR="00E61D57" w:rsidRDefault="00E61D57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5F90CB6" w14:textId="77777777" w:rsidR="00E61D57" w:rsidRDefault="00E61D57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7E61BF8" w14:textId="77777777" w:rsidR="00E61D57" w:rsidRDefault="00E61D57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F6726C8" w14:textId="77777777" w:rsidR="00E61D57" w:rsidRDefault="00E61D57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08BA326" w14:textId="77777777" w:rsidR="00E61D57" w:rsidRDefault="00E61D57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9BC156" w14:textId="77777777" w:rsidR="00E61D57" w:rsidRDefault="00E61D57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676CF1" w14:textId="77777777" w:rsidR="00021BBE" w:rsidRDefault="00021BBE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84BDB8" w14:textId="77777777" w:rsidR="00021BBE" w:rsidRDefault="00021BBE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6580CB" w14:textId="77777777" w:rsidR="00021BBE" w:rsidRDefault="00021BBE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5AFA427" w14:textId="77777777" w:rsidR="00021BBE" w:rsidRDefault="00021BBE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F495C95" w14:textId="77777777" w:rsidR="00021BBE" w:rsidRDefault="00021BBE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D0EBED" w14:textId="77777777" w:rsidR="00021BBE" w:rsidRDefault="00021BBE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7D32DD" w14:textId="77777777" w:rsidR="00021BBE" w:rsidRDefault="00021BBE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46BD3F" w14:textId="77777777" w:rsidR="00021BBE" w:rsidRDefault="00021BBE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F1D788" w14:textId="4D769DEF" w:rsidR="00E61D57" w:rsidRPr="00CD5E8D" w:rsidRDefault="00E61D57" w:rsidP="00E61D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5E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Imprese che aumenteranno il fatturato</w:t>
      </w:r>
    </w:p>
    <w:p w14:paraId="50E653FF" w14:textId="77777777" w:rsidR="00E61D57" w:rsidRDefault="00E61D57" w:rsidP="00E61D57">
      <w:pPr>
        <w:jc w:val="both"/>
        <w:rPr>
          <w:i/>
          <w:iCs/>
          <w:sz w:val="16"/>
          <w:szCs w:val="16"/>
        </w:rPr>
      </w:pPr>
    </w:p>
    <w:p w14:paraId="2F314471" w14:textId="77777777" w:rsidR="00E61D57" w:rsidRPr="00CD5E8D" w:rsidRDefault="00E61D57" w:rsidP="00E61D57">
      <w:pPr>
        <w:jc w:val="both"/>
        <w:rPr>
          <w:i/>
          <w:iCs/>
          <w:sz w:val="16"/>
          <w:szCs w:val="16"/>
        </w:rPr>
      </w:pPr>
      <w:r>
        <w:rPr>
          <w:noProof/>
        </w:rPr>
        <w:drawing>
          <wp:inline distT="0" distB="0" distL="0" distR="0" wp14:anchorId="0BC63A24" wp14:editId="4EB11FC3">
            <wp:extent cx="4920615" cy="2429828"/>
            <wp:effectExtent l="0" t="0" r="0" b="0"/>
            <wp:docPr id="559354728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C24E70DA-27CB-337B-5562-B8FE10F5BD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1B5E9F" w14:textId="77777777" w:rsidR="00E61D57" w:rsidRDefault="00E61D57" w:rsidP="00E61D57">
      <w:pPr>
        <w:jc w:val="both"/>
        <w:rPr>
          <w:b/>
          <w:bCs/>
          <w:sz w:val="16"/>
          <w:szCs w:val="16"/>
        </w:rPr>
      </w:pPr>
    </w:p>
    <w:p w14:paraId="0509BCC0" w14:textId="77777777" w:rsidR="00E61D57" w:rsidRPr="00021BBE" w:rsidRDefault="00E61D57" w:rsidP="00E61D57">
      <w:pPr>
        <w:jc w:val="both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021BBE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Fonte: indagine Centro Studi Tagliacarne-Unioncamere, 2022</w:t>
      </w:r>
    </w:p>
    <w:p w14:paraId="619AD40F" w14:textId="77777777" w:rsidR="00E61D57" w:rsidRPr="00021BBE" w:rsidRDefault="00E61D57" w:rsidP="00E61D57">
      <w:pPr>
        <w:jc w:val="both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</w:p>
    <w:bookmarkEnd w:id="1"/>
    <w:p w14:paraId="0D5FFD0C" w14:textId="77777777" w:rsidR="00E61D57" w:rsidRPr="00021BBE" w:rsidRDefault="00E61D57" w:rsidP="00B358B2">
      <w:pPr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5958DB19" w14:textId="77777777" w:rsidR="00E61D57" w:rsidRPr="00021BBE" w:rsidRDefault="00E61D57" w:rsidP="00E61D5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21BB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Imprese che aumenteranno l'occupazione</w:t>
      </w:r>
    </w:p>
    <w:p w14:paraId="40DA4332" w14:textId="77777777" w:rsidR="00E61D57" w:rsidRPr="00021BBE" w:rsidRDefault="00E61D57" w:rsidP="00E61D5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21BBE">
        <w:rPr>
          <w:noProof/>
          <w:color w:val="000000" w:themeColor="text1"/>
        </w:rPr>
        <w:drawing>
          <wp:inline distT="0" distB="0" distL="0" distR="0" wp14:anchorId="31A66D05" wp14:editId="58B114AF">
            <wp:extent cx="4912995" cy="2418398"/>
            <wp:effectExtent l="0" t="0" r="0" b="0"/>
            <wp:docPr id="166843768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6E50FAC0-56C2-4518-8449-28CD3424E1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50AB56" w14:textId="77777777" w:rsidR="00E61D57" w:rsidRPr="00021BBE" w:rsidRDefault="00E61D57" w:rsidP="00E61D57">
      <w:pPr>
        <w:jc w:val="both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021BBE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Fonte: indagine Centro Studi Tagliacarne-Unioncamere, 2022</w:t>
      </w:r>
    </w:p>
    <w:p w14:paraId="01C9B160" w14:textId="77777777" w:rsidR="00E61D57" w:rsidRPr="00021BBE" w:rsidRDefault="00E61D57" w:rsidP="00E61D57">
      <w:pPr>
        <w:jc w:val="both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</w:p>
    <w:p w14:paraId="72999DC6" w14:textId="12A86484" w:rsidR="00CD325D" w:rsidRPr="00021BBE" w:rsidRDefault="00CD325D" w:rsidP="0090409D">
      <w:pPr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628E21CD" w14:textId="6FF5289F" w:rsidR="00D65F26" w:rsidRPr="00021BBE" w:rsidRDefault="00D65F26" w:rsidP="00D65F26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21BB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Imprese che investiranno nel </w:t>
      </w:r>
      <w:r w:rsidR="001F3AF8" w:rsidRPr="00021BB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Green e nel Digitale </w:t>
      </w:r>
      <w:r w:rsidRPr="00021BB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tra il 2023 e il 2025</w:t>
      </w:r>
    </w:p>
    <w:p w14:paraId="6ECADFD3" w14:textId="6AFB5192" w:rsidR="00CD0D9B" w:rsidRDefault="00CD0D9B" w:rsidP="00D65F2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6752B2D" wp14:editId="18062ECC">
            <wp:extent cx="4920615" cy="2414588"/>
            <wp:effectExtent l="0" t="0" r="0" b="0"/>
            <wp:docPr id="939732057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EE547385-8CC8-48F8-A56C-B4951FF429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44D083" w14:textId="77777777" w:rsidR="00D65F26" w:rsidRDefault="00D65F26" w:rsidP="00D65F26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5E8D">
        <w:rPr>
          <w:rFonts w:asciiTheme="minorHAnsi" w:hAnsiTheme="minorHAnsi" w:cstheme="minorHAnsi"/>
          <w:i/>
          <w:iCs/>
          <w:sz w:val="18"/>
          <w:szCs w:val="18"/>
        </w:rPr>
        <w:t>Fonte: indagine Centro Studi Tagliacarne-Unioncamere, 2022</w:t>
      </w:r>
    </w:p>
    <w:sectPr w:rsidR="00D65F26" w:rsidSect="00C7349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559" w:bottom="709" w:left="1559" w:header="720" w:footer="0" w:gutter="0"/>
      <w:pgNumType w:start="1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6EE8" w14:textId="77777777" w:rsidR="00323296" w:rsidRDefault="00323296">
      <w:r>
        <w:separator/>
      </w:r>
    </w:p>
  </w:endnote>
  <w:endnote w:type="continuationSeparator" w:id="0">
    <w:p w14:paraId="5EBA36A0" w14:textId="77777777" w:rsidR="00323296" w:rsidRDefault="0032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variable"/>
  </w:font>
  <w:font w:name="Rasa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2356" w14:textId="27B7A6A3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A0363">
      <w:rPr>
        <w:noProof/>
      </w:rPr>
      <w:t>2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696"/>
      <w:gridCol w:w="621"/>
      <w:gridCol w:w="606"/>
      <w:gridCol w:w="494"/>
      <w:gridCol w:w="526"/>
      <w:gridCol w:w="542"/>
    </w:tblGrid>
    <w:tr w:rsidR="00FB276B" w:rsidRPr="00FB276B" w14:paraId="48140597" w14:textId="77777777" w:rsidTr="00677FBD">
      <w:tc>
        <w:tcPr>
          <w:tcW w:w="72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727443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/>
            </w:rPr>
            <w:t>Per ulteriori informazioni:</w:t>
          </w:r>
        </w:p>
        <w:p w14:paraId="5CE31464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Responsabile ufficio stampa e comunicazione </w:t>
          </w:r>
        </w:p>
        <w:p w14:paraId="0E92294E" w14:textId="77777777" w:rsidR="00FB276B" w:rsidRP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Loredana Capuozzo | </w:t>
          </w:r>
          <w:proofErr w:type="spell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cell</w:t>
          </w:r>
          <w:proofErr w:type="spell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. 331.6098963 | </w:t>
          </w:r>
          <w:proofErr w:type="gram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email</w:t>
          </w:r>
          <w:proofErr w:type="gram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: loredana.capuozzo@tagliacarne.it</w:t>
          </w:r>
        </w:p>
      </w:tc>
      <w:tc>
        <w:tcPr>
          <w:tcW w:w="5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475B2C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1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327543D" wp14:editId="56D76E97">
                  <wp:extent cx="227965" cy="227965"/>
                  <wp:effectExtent l="0" t="0" r="0" b="0"/>
                  <wp:docPr id="39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81658E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  <w:lang w:val="it"/>
            </w:rPr>
          </w:pPr>
          <w:hyperlink r:id="rId3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1BA8D2B" wp14:editId="0CC67D32">
                  <wp:extent cx="199837" cy="199837"/>
                  <wp:effectExtent l="0" t="0" r="0" b="0"/>
                  <wp:docPr id="39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3219F65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5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35BDA116" wp14:editId="46D98C21">
                  <wp:extent cx="199837" cy="199837"/>
                  <wp:effectExtent l="0" t="0" r="0" b="0"/>
                  <wp:docPr id="40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BECE957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7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2E19E3D" wp14:editId="4480523E">
                  <wp:extent cx="194628" cy="200025"/>
                  <wp:effectExtent l="0" t="0" r="0" b="0"/>
                  <wp:docPr id="40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C08DFC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9">
            <w:r w:rsidR="00FB276B" w:rsidRP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09DFE453" wp14:editId="6D4708C9">
                  <wp:extent cx="194628" cy="194628"/>
                  <wp:effectExtent l="0" t="0" r="0" b="0"/>
                  <wp:docPr id="40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</w:tbl>
  <w:p w14:paraId="0A504BFC" w14:textId="2BFF8424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D7EB" w14:textId="1D8A11A1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0303F">
      <w:rPr>
        <w:noProof/>
      </w:rPr>
      <w:t>1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59"/>
      <w:gridCol w:w="7079"/>
      <w:gridCol w:w="358"/>
      <w:gridCol w:w="303"/>
      <w:gridCol w:w="318"/>
      <w:gridCol w:w="326"/>
      <w:gridCol w:w="280"/>
      <w:gridCol w:w="411"/>
      <w:gridCol w:w="83"/>
      <w:gridCol w:w="526"/>
      <w:gridCol w:w="141"/>
      <w:gridCol w:w="401"/>
    </w:tblGrid>
    <w:tr w:rsidR="00FB276B" w14:paraId="6C3E47E7" w14:textId="77777777" w:rsidTr="00FB276B">
      <w:tc>
        <w:tcPr>
          <w:tcW w:w="7696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94FE2A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>Per ulteriori informazioni:</w:t>
          </w:r>
        </w:p>
        <w:p w14:paraId="27E7488F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Responsabile ufficio stampa e comunicazione </w:t>
          </w:r>
        </w:p>
        <w:p w14:paraId="6ED74B5F" w14:textId="77777777" w:rsid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Loredana Capuozzo | </w:t>
          </w:r>
          <w:proofErr w:type="spell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cell</w:t>
          </w:r>
          <w:proofErr w:type="spell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. 331.6098963 | </w:t>
          </w:r>
          <w:proofErr w:type="gram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email</w:t>
          </w:r>
          <w:proofErr w:type="gram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: loredana.capuozzo@tagliacarne.it</w:t>
          </w:r>
        </w:p>
      </w:tc>
      <w:tc>
        <w:tcPr>
          <w:tcW w:w="62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7368E8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1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C596659" wp14:editId="7CB840DD">
                  <wp:extent cx="227965" cy="227965"/>
                  <wp:effectExtent l="0" t="0" r="0" b="0"/>
                  <wp:docPr id="40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606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A8C6D9C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</w:rPr>
          </w:pPr>
          <w:hyperlink r:id="rId3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39D6B00" wp14:editId="091EBDA3">
                  <wp:extent cx="199837" cy="199837"/>
                  <wp:effectExtent l="0" t="0" r="0" b="0"/>
                  <wp:docPr id="40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55F801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5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7B5DD97F" wp14:editId="5A6DE1AF">
                  <wp:extent cx="199837" cy="199837"/>
                  <wp:effectExtent l="0" t="0" r="0" b="0"/>
                  <wp:docPr id="40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2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17FB49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7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477DCDA" wp14:editId="45606EB6">
                  <wp:extent cx="194628" cy="200025"/>
                  <wp:effectExtent l="0" t="0" r="0" b="0"/>
                  <wp:docPr id="40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42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0FC67C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9">
            <w:r w:rsid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1F841BF4" wp14:editId="2A311F55">
                  <wp:extent cx="194628" cy="194628"/>
                  <wp:effectExtent l="0" t="0" r="0" b="0"/>
                  <wp:docPr id="40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  <w:tr w:rsidR="00766A11" w14:paraId="7260B755" w14:textId="77777777" w:rsidTr="00FB276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259" w:type="dxa"/>
        <w:wAfter w:w="401" w:type="dxa"/>
      </w:trPr>
      <w:tc>
        <w:tcPr>
          <w:tcW w:w="707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36EB674C" w14:textId="30134481" w:rsidR="00766A11" w:rsidRDefault="00766A11" w:rsidP="00766A11">
          <w:pPr>
            <w:pStyle w:val="LO-normal"/>
            <w:widowControl w:val="0"/>
            <w:tabs>
              <w:tab w:val="center" w:pos="4819"/>
              <w:tab w:val="right" w:pos="9638"/>
            </w:tabs>
            <w:jc w:val="left"/>
          </w:pPr>
        </w:p>
      </w:tc>
      <w:tc>
        <w:tcPr>
          <w:tcW w:w="66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7FE695F0" w14:textId="470D74F3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4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4C131564" w14:textId="0BBB7768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9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3288B40" w14:textId="1CD81B56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750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572DBA3" w14:textId="43631C3D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</w:tr>
  </w:tbl>
  <w:p w14:paraId="14BA7F62" w14:textId="77777777" w:rsidR="00766A11" w:rsidRDefault="00766A11">
    <w:pPr>
      <w:pStyle w:val="Pidipagina"/>
      <w:jc w:val="right"/>
    </w:pPr>
  </w:p>
  <w:p w14:paraId="104F8740" w14:textId="77777777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  <w:rPr>
        <w:rFonts w:ascii="Rasa Light" w:eastAsia="Rasa Light" w:hAnsi="Rasa Light" w:cs="Rasa Light"/>
        <w:color w:val="071D4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991D" w14:textId="77777777" w:rsidR="00323296" w:rsidRDefault="00323296">
      <w:r>
        <w:separator/>
      </w:r>
    </w:p>
  </w:footnote>
  <w:footnote w:type="continuationSeparator" w:id="0">
    <w:p w14:paraId="602F13E8" w14:textId="77777777" w:rsidR="00323296" w:rsidRDefault="0032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D781" w14:textId="7DFD2272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75004E7A" wp14:editId="0B8918F1">
          <wp:simplePos x="0" y="0"/>
          <wp:positionH relativeFrom="column">
            <wp:posOffset>-560070</wp:posOffset>
          </wp:positionH>
          <wp:positionV relativeFrom="paragraph">
            <wp:posOffset>-342900</wp:posOffset>
          </wp:positionV>
          <wp:extent cx="1790065" cy="418465"/>
          <wp:effectExtent l="0" t="0" r="0" b="0"/>
          <wp:wrapNone/>
          <wp:docPr id="397" name="Immagine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B09B" w14:textId="443D70DE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3FDAFCEC" wp14:editId="1AF85765">
          <wp:simplePos x="0" y="0"/>
          <wp:positionH relativeFrom="column">
            <wp:posOffset>-1104265</wp:posOffset>
          </wp:positionH>
          <wp:positionV relativeFrom="paragraph">
            <wp:posOffset>-457200</wp:posOffset>
          </wp:positionV>
          <wp:extent cx="7562215" cy="1576705"/>
          <wp:effectExtent l="0" t="0" r="0" b="0"/>
          <wp:wrapNone/>
          <wp:docPr id="403" name="Immagine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76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126A"/>
    <w:multiLevelType w:val="multilevel"/>
    <w:tmpl w:val="586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11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66"/>
    <w:rsid w:val="00001256"/>
    <w:rsid w:val="00003FCE"/>
    <w:rsid w:val="00004160"/>
    <w:rsid w:val="00007514"/>
    <w:rsid w:val="000100A7"/>
    <w:rsid w:val="00014266"/>
    <w:rsid w:val="000150EC"/>
    <w:rsid w:val="00017F49"/>
    <w:rsid w:val="00021BA9"/>
    <w:rsid w:val="00021BBE"/>
    <w:rsid w:val="0002226D"/>
    <w:rsid w:val="000241CA"/>
    <w:rsid w:val="00041F01"/>
    <w:rsid w:val="000456D1"/>
    <w:rsid w:val="00052D7A"/>
    <w:rsid w:val="00060FB3"/>
    <w:rsid w:val="00073C60"/>
    <w:rsid w:val="00074632"/>
    <w:rsid w:val="0008028D"/>
    <w:rsid w:val="00086C58"/>
    <w:rsid w:val="000A3E00"/>
    <w:rsid w:val="000A5176"/>
    <w:rsid w:val="000A5435"/>
    <w:rsid w:val="000A5B0D"/>
    <w:rsid w:val="000A6B8F"/>
    <w:rsid w:val="000B521A"/>
    <w:rsid w:val="000D0E33"/>
    <w:rsid w:val="000D281F"/>
    <w:rsid w:val="000D2988"/>
    <w:rsid w:val="000D48DE"/>
    <w:rsid w:val="000D56CA"/>
    <w:rsid w:val="000D6CAE"/>
    <w:rsid w:val="000E43A2"/>
    <w:rsid w:val="000E6CA7"/>
    <w:rsid w:val="000F630E"/>
    <w:rsid w:val="00102AB6"/>
    <w:rsid w:val="00104013"/>
    <w:rsid w:val="001137F9"/>
    <w:rsid w:val="00114FCA"/>
    <w:rsid w:val="00117387"/>
    <w:rsid w:val="00123825"/>
    <w:rsid w:val="00124497"/>
    <w:rsid w:val="0013729E"/>
    <w:rsid w:val="0015319D"/>
    <w:rsid w:val="00154230"/>
    <w:rsid w:val="00154B70"/>
    <w:rsid w:val="00163192"/>
    <w:rsid w:val="001713AD"/>
    <w:rsid w:val="0017236B"/>
    <w:rsid w:val="00173191"/>
    <w:rsid w:val="00182800"/>
    <w:rsid w:val="00186466"/>
    <w:rsid w:val="0019079C"/>
    <w:rsid w:val="00195A05"/>
    <w:rsid w:val="001A5839"/>
    <w:rsid w:val="001A642F"/>
    <w:rsid w:val="001A744C"/>
    <w:rsid w:val="001B125E"/>
    <w:rsid w:val="001B3B92"/>
    <w:rsid w:val="001B7D85"/>
    <w:rsid w:val="001C2E2D"/>
    <w:rsid w:val="001C5C61"/>
    <w:rsid w:val="001D23CF"/>
    <w:rsid w:val="001D442F"/>
    <w:rsid w:val="001D6694"/>
    <w:rsid w:val="001D7331"/>
    <w:rsid w:val="001E3C18"/>
    <w:rsid w:val="001E6D2B"/>
    <w:rsid w:val="001F3AF8"/>
    <w:rsid w:val="001F54C9"/>
    <w:rsid w:val="00203923"/>
    <w:rsid w:val="0021095C"/>
    <w:rsid w:val="00223FFD"/>
    <w:rsid w:val="002240F8"/>
    <w:rsid w:val="00226213"/>
    <w:rsid w:val="00227D22"/>
    <w:rsid w:val="002328BF"/>
    <w:rsid w:val="00232983"/>
    <w:rsid w:val="00236D16"/>
    <w:rsid w:val="00245546"/>
    <w:rsid w:val="00247134"/>
    <w:rsid w:val="0024740F"/>
    <w:rsid w:val="00266351"/>
    <w:rsid w:val="002672E8"/>
    <w:rsid w:val="00272F3D"/>
    <w:rsid w:val="00282AEC"/>
    <w:rsid w:val="002A1AAE"/>
    <w:rsid w:val="002A6DEE"/>
    <w:rsid w:val="002B2C3D"/>
    <w:rsid w:val="002B3B83"/>
    <w:rsid w:val="002B498E"/>
    <w:rsid w:val="002B4AD4"/>
    <w:rsid w:val="002B4E80"/>
    <w:rsid w:val="002C11ED"/>
    <w:rsid w:val="002C12E1"/>
    <w:rsid w:val="002C12F4"/>
    <w:rsid w:val="002C3D79"/>
    <w:rsid w:val="002C68E8"/>
    <w:rsid w:val="002D6AE9"/>
    <w:rsid w:val="002D7381"/>
    <w:rsid w:val="002E240E"/>
    <w:rsid w:val="002E332D"/>
    <w:rsid w:val="002E6EA2"/>
    <w:rsid w:val="002F436E"/>
    <w:rsid w:val="003050C5"/>
    <w:rsid w:val="003079EE"/>
    <w:rsid w:val="00310FDF"/>
    <w:rsid w:val="00311498"/>
    <w:rsid w:val="00315E63"/>
    <w:rsid w:val="003169EF"/>
    <w:rsid w:val="00321FAF"/>
    <w:rsid w:val="00322979"/>
    <w:rsid w:val="00323296"/>
    <w:rsid w:val="00325789"/>
    <w:rsid w:val="0032639F"/>
    <w:rsid w:val="00330160"/>
    <w:rsid w:val="00334886"/>
    <w:rsid w:val="003378AA"/>
    <w:rsid w:val="00345157"/>
    <w:rsid w:val="00352F59"/>
    <w:rsid w:val="00353738"/>
    <w:rsid w:val="00356C6E"/>
    <w:rsid w:val="00362423"/>
    <w:rsid w:val="003625E5"/>
    <w:rsid w:val="00370F66"/>
    <w:rsid w:val="00381DCF"/>
    <w:rsid w:val="00384A84"/>
    <w:rsid w:val="0038592F"/>
    <w:rsid w:val="003903AE"/>
    <w:rsid w:val="00394702"/>
    <w:rsid w:val="003958E0"/>
    <w:rsid w:val="003A22A6"/>
    <w:rsid w:val="003B133C"/>
    <w:rsid w:val="003B2BB1"/>
    <w:rsid w:val="003C76F8"/>
    <w:rsid w:val="003D29EE"/>
    <w:rsid w:val="003D4259"/>
    <w:rsid w:val="003E45FF"/>
    <w:rsid w:val="003F5A52"/>
    <w:rsid w:val="003F5B4D"/>
    <w:rsid w:val="003F7CF4"/>
    <w:rsid w:val="003F7FDF"/>
    <w:rsid w:val="00400448"/>
    <w:rsid w:val="004012A3"/>
    <w:rsid w:val="00402F22"/>
    <w:rsid w:val="004042FE"/>
    <w:rsid w:val="004069F0"/>
    <w:rsid w:val="004213F1"/>
    <w:rsid w:val="00424B92"/>
    <w:rsid w:val="0042598D"/>
    <w:rsid w:val="00425CDE"/>
    <w:rsid w:val="00431F85"/>
    <w:rsid w:val="004436E7"/>
    <w:rsid w:val="00446305"/>
    <w:rsid w:val="00447C70"/>
    <w:rsid w:val="00453F63"/>
    <w:rsid w:val="004555A2"/>
    <w:rsid w:val="00455CF8"/>
    <w:rsid w:val="00457E7B"/>
    <w:rsid w:val="004631C5"/>
    <w:rsid w:val="004634F6"/>
    <w:rsid w:val="00467E76"/>
    <w:rsid w:val="00474EE2"/>
    <w:rsid w:val="00475FE7"/>
    <w:rsid w:val="00476CE7"/>
    <w:rsid w:val="00480780"/>
    <w:rsid w:val="00486BD6"/>
    <w:rsid w:val="0048799C"/>
    <w:rsid w:val="00495148"/>
    <w:rsid w:val="004A0507"/>
    <w:rsid w:val="004B54E1"/>
    <w:rsid w:val="004B5CAF"/>
    <w:rsid w:val="004B6276"/>
    <w:rsid w:val="004D0284"/>
    <w:rsid w:val="004F16CD"/>
    <w:rsid w:val="00505937"/>
    <w:rsid w:val="00506CDB"/>
    <w:rsid w:val="005073B3"/>
    <w:rsid w:val="00513E97"/>
    <w:rsid w:val="0051680E"/>
    <w:rsid w:val="0052022F"/>
    <w:rsid w:val="005206F0"/>
    <w:rsid w:val="005370AC"/>
    <w:rsid w:val="0054273C"/>
    <w:rsid w:val="005536ED"/>
    <w:rsid w:val="00562BE7"/>
    <w:rsid w:val="00563D3C"/>
    <w:rsid w:val="00571A94"/>
    <w:rsid w:val="00571EB6"/>
    <w:rsid w:val="00577541"/>
    <w:rsid w:val="00581F14"/>
    <w:rsid w:val="0059138E"/>
    <w:rsid w:val="005938E6"/>
    <w:rsid w:val="00594414"/>
    <w:rsid w:val="005976AA"/>
    <w:rsid w:val="005A277A"/>
    <w:rsid w:val="005A3541"/>
    <w:rsid w:val="005A3679"/>
    <w:rsid w:val="005B0033"/>
    <w:rsid w:val="005B10A2"/>
    <w:rsid w:val="005B64B6"/>
    <w:rsid w:val="005C1B10"/>
    <w:rsid w:val="005C2321"/>
    <w:rsid w:val="005C38BC"/>
    <w:rsid w:val="005C467C"/>
    <w:rsid w:val="005D2107"/>
    <w:rsid w:val="005D5956"/>
    <w:rsid w:val="005E33C9"/>
    <w:rsid w:val="005E4790"/>
    <w:rsid w:val="006032BE"/>
    <w:rsid w:val="00606EA1"/>
    <w:rsid w:val="00617B53"/>
    <w:rsid w:val="006303DB"/>
    <w:rsid w:val="00630C5A"/>
    <w:rsid w:val="00630E2F"/>
    <w:rsid w:val="006466D9"/>
    <w:rsid w:val="0064710D"/>
    <w:rsid w:val="006529D5"/>
    <w:rsid w:val="006621C2"/>
    <w:rsid w:val="0066626C"/>
    <w:rsid w:val="00666A51"/>
    <w:rsid w:val="00673A8B"/>
    <w:rsid w:val="00673E41"/>
    <w:rsid w:val="00675844"/>
    <w:rsid w:val="00677FFB"/>
    <w:rsid w:val="00680494"/>
    <w:rsid w:val="006809D1"/>
    <w:rsid w:val="00682B6D"/>
    <w:rsid w:val="00682F90"/>
    <w:rsid w:val="006924D4"/>
    <w:rsid w:val="006A0781"/>
    <w:rsid w:val="006A6D59"/>
    <w:rsid w:val="006B5B87"/>
    <w:rsid w:val="006C2058"/>
    <w:rsid w:val="006D507F"/>
    <w:rsid w:val="006D6AC3"/>
    <w:rsid w:val="006D736F"/>
    <w:rsid w:val="006E1F8D"/>
    <w:rsid w:val="006E5B79"/>
    <w:rsid w:val="006E60E9"/>
    <w:rsid w:val="006F1DFE"/>
    <w:rsid w:val="006F2474"/>
    <w:rsid w:val="006F2F02"/>
    <w:rsid w:val="006F3742"/>
    <w:rsid w:val="00707873"/>
    <w:rsid w:val="007100E3"/>
    <w:rsid w:val="0071404A"/>
    <w:rsid w:val="00720421"/>
    <w:rsid w:val="00724A4E"/>
    <w:rsid w:val="00730427"/>
    <w:rsid w:val="00734433"/>
    <w:rsid w:val="00747179"/>
    <w:rsid w:val="00747256"/>
    <w:rsid w:val="00753EF9"/>
    <w:rsid w:val="00757F38"/>
    <w:rsid w:val="00762202"/>
    <w:rsid w:val="00762250"/>
    <w:rsid w:val="0076296A"/>
    <w:rsid w:val="00762A11"/>
    <w:rsid w:val="00766A11"/>
    <w:rsid w:val="00767E28"/>
    <w:rsid w:val="00771352"/>
    <w:rsid w:val="0077177D"/>
    <w:rsid w:val="00771ECC"/>
    <w:rsid w:val="007733EA"/>
    <w:rsid w:val="00776558"/>
    <w:rsid w:val="00781425"/>
    <w:rsid w:val="00784C66"/>
    <w:rsid w:val="0079023B"/>
    <w:rsid w:val="00791EDE"/>
    <w:rsid w:val="00794D75"/>
    <w:rsid w:val="00796637"/>
    <w:rsid w:val="007976B9"/>
    <w:rsid w:val="007A0A2E"/>
    <w:rsid w:val="007A5FC6"/>
    <w:rsid w:val="007B66FC"/>
    <w:rsid w:val="007D252A"/>
    <w:rsid w:val="007D7F85"/>
    <w:rsid w:val="007E1F83"/>
    <w:rsid w:val="007E61CE"/>
    <w:rsid w:val="007F194A"/>
    <w:rsid w:val="007F4418"/>
    <w:rsid w:val="00803C78"/>
    <w:rsid w:val="008046A5"/>
    <w:rsid w:val="00804DCE"/>
    <w:rsid w:val="00805812"/>
    <w:rsid w:val="00807441"/>
    <w:rsid w:val="008105C0"/>
    <w:rsid w:val="008111ED"/>
    <w:rsid w:val="00815E25"/>
    <w:rsid w:val="00820D90"/>
    <w:rsid w:val="00822143"/>
    <w:rsid w:val="0082400B"/>
    <w:rsid w:val="00826C98"/>
    <w:rsid w:val="0083111F"/>
    <w:rsid w:val="008376DA"/>
    <w:rsid w:val="0084211B"/>
    <w:rsid w:val="008457A8"/>
    <w:rsid w:val="00855470"/>
    <w:rsid w:val="008557C3"/>
    <w:rsid w:val="00857179"/>
    <w:rsid w:val="0085760E"/>
    <w:rsid w:val="00860637"/>
    <w:rsid w:val="00861E2A"/>
    <w:rsid w:val="0086208B"/>
    <w:rsid w:val="00863978"/>
    <w:rsid w:val="008847F6"/>
    <w:rsid w:val="00887877"/>
    <w:rsid w:val="00896AEF"/>
    <w:rsid w:val="00897B50"/>
    <w:rsid w:val="008A37BF"/>
    <w:rsid w:val="008B2350"/>
    <w:rsid w:val="008C6987"/>
    <w:rsid w:val="008D3316"/>
    <w:rsid w:val="008D4A4A"/>
    <w:rsid w:val="008D59D6"/>
    <w:rsid w:val="008E361F"/>
    <w:rsid w:val="008E5B2C"/>
    <w:rsid w:val="008F1334"/>
    <w:rsid w:val="008F529B"/>
    <w:rsid w:val="008F5FBD"/>
    <w:rsid w:val="00902005"/>
    <w:rsid w:val="0090409D"/>
    <w:rsid w:val="00905512"/>
    <w:rsid w:val="0093082D"/>
    <w:rsid w:val="00936D09"/>
    <w:rsid w:val="0094562C"/>
    <w:rsid w:val="00951740"/>
    <w:rsid w:val="00955D52"/>
    <w:rsid w:val="00956BC9"/>
    <w:rsid w:val="009575A7"/>
    <w:rsid w:val="00966FE0"/>
    <w:rsid w:val="00972954"/>
    <w:rsid w:val="00982C21"/>
    <w:rsid w:val="00997941"/>
    <w:rsid w:val="009A0B29"/>
    <w:rsid w:val="009A4AAD"/>
    <w:rsid w:val="009B0EF8"/>
    <w:rsid w:val="009B3BEE"/>
    <w:rsid w:val="009C0A8C"/>
    <w:rsid w:val="009C761D"/>
    <w:rsid w:val="009D4F43"/>
    <w:rsid w:val="009D72A8"/>
    <w:rsid w:val="009E2CEC"/>
    <w:rsid w:val="009E38A6"/>
    <w:rsid w:val="009E575B"/>
    <w:rsid w:val="009E786F"/>
    <w:rsid w:val="009F510B"/>
    <w:rsid w:val="00A02A56"/>
    <w:rsid w:val="00A02C12"/>
    <w:rsid w:val="00A0303F"/>
    <w:rsid w:val="00A03313"/>
    <w:rsid w:val="00A1607A"/>
    <w:rsid w:val="00A2184E"/>
    <w:rsid w:val="00A26121"/>
    <w:rsid w:val="00A3451A"/>
    <w:rsid w:val="00A34D2F"/>
    <w:rsid w:val="00A372D6"/>
    <w:rsid w:val="00A37D8C"/>
    <w:rsid w:val="00A40865"/>
    <w:rsid w:val="00A5381A"/>
    <w:rsid w:val="00A55813"/>
    <w:rsid w:val="00A56EA3"/>
    <w:rsid w:val="00A627AD"/>
    <w:rsid w:val="00A6511C"/>
    <w:rsid w:val="00A77D69"/>
    <w:rsid w:val="00A83EB1"/>
    <w:rsid w:val="00A95C1D"/>
    <w:rsid w:val="00AA0363"/>
    <w:rsid w:val="00AA1F0A"/>
    <w:rsid w:val="00AA41B0"/>
    <w:rsid w:val="00AD17C1"/>
    <w:rsid w:val="00AD195C"/>
    <w:rsid w:val="00AD338F"/>
    <w:rsid w:val="00AD3A04"/>
    <w:rsid w:val="00AD7683"/>
    <w:rsid w:val="00AD7D55"/>
    <w:rsid w:val="00AE331F"/>
    <w:rsid w:val="00AF012D"/>
    <w:rsid w:val="00AF38CD"/>
    <w:rsid w:val="00AF4E55"/>
    <w:rsid w:val="00B01FD1"/>
    <w:rsid w:val="00B027E4"/>
    <w:rsid w:val="00B03D87"/>
    <w:rsid w:val="00B07943"/>
    <w:rsid w:val="00B10E6C"/>
    <w:rsid w:val="00B15AB5"/>
    <w:rsid w:val="00B15D43"/>
    <w:rsid w:val="00B17C7D"/>
    <w:rsid w:val="00B2082F"/>
    <w:rsid w:val="00B24A15"/>
    <w:rsid w:val="00B27D97"/>
    <w:rsid w:val="00B358B2"/>
    <w:rsid w:val="00B4162E"/>
    <w:rsid w:val="00B43F85"/>
    <w:rsid w:val="00B5066A"/>
    <w:rsid w:val="00B51011"/>
    <w:rsid w:val="00B513BF"/>
    <w:rsid w:val="00B628D0"/>
    <w:rsid w:val="00B66A2B"/>
    <w:rsid w:val="00B8001F"/>
    <w:rsid w:val="00B81811"/>
    <w:rsid w:val="00B8249D"/>
    <w:rsid w:val="00B82D16"/>
    <w:rsid w:val="00B83CA7"/>
    <w:rsid w:val="00B845AD"/>
    <w:rsid w:val="00B90A22"/>
    <w:rsid w:val="00B923B8"/>
    <w:rsid w:val="00BA52C0"/>
    <w:rsid w:val="00BA7EB4"/>
    <w:rsid w:val="00BB1F4B"/>
    <w:rsid w:val="00BB4F45"/>
    <w:rsid w:val="00BB56E1"/>
    <w:rsid w:val="00BB6CCA"/>
    <w:rsid w:val="00BC0748"/>
    <w:rsid w:val="00BC2754"/>
    <w:rsid w:val="00BC509A"/>
    <w:rsid w:val="00BD087F"/>
    <w:rsid w:val="00BD2481"/>
    <w:rsid w:val="00BD6893"/>
    <w:rsid w:val="00BD730E"/>
    <w:rsid w:val="00BE06B8"/>
    <w:rsid w:val="00BE6A8F"/>
    <w:rsid w:val="00BF00F0"/>
    <w:rsid w:val="00BF3BFF"/>
    <w:rsid w:val="00BF5595"/>
    <w:rsid w:val="00BF6881"/>
    <w:rsid w:val="00C0176E"/>
    <w:rsid w:val="00C055F2"/>
    <w:rsid w:val="00C110D6"/>
    <w:rsid w:val="00C1148F"/>
    <w:rsid w:val="00C14606"/>
    <w:rsid w:val="00C14735"/>
    <w:rsid w:val="00C21BC1"/>
    <w:rsid w:val="00C259A8"/>
    <w:rsid w:val="00C26483"/>
    <w:rsid w:val="00C27999"/>
    <w:rsid w:val="00C304D6"/>
    <w:rsid w:val="00C32823"/>
    <w:rsid w:val="00C461DE"/>
    <w:rsid w:val="00C51DD5"/>
    <w:rsid w:val="00C5246C"/>
    <w:rsid w:val="00C53C95"/>
    <w:rsid w:val="00C560F4"/>
    <w:rsid w:val="00C67045"/>
    <w:rsid w:val="00C719F0"/>
    <w:rsid w:val="00C7349E"/>
    <w:rsid w:val="00C74382"/>
    <w:rsid w:val="00C77275"/>
    <w:rsid w:val="00C84F06"/>
    <w:rsid w:val="00C85372"/>
    <w:rsid w:val="00C924A6"/>
    <w:rsid w:val="00CA2C3C"/>
    <w:rsid w:val="00CA46D7"/>
    <w:rsid w:val="00CA4E05"/>
    <w:rsid w:val="00CA6160"/>
    <w:rsid w:val="00CB4092"/>
    <w:rsid w:val="00CB4125"/>
    <w:rsid w:val="00CB794D"/>
    <w:rsid w:val="00CC5967"/>
    <w:rsid w:val="00CC6326"/>
    <w:rsid w:val="00CC77BF"/>
    <w:rsid w:val="00CC7DA6"/>
    <w:rsid w:val="00CD0D9B"/>
    <w:rsid w:val="00CD325D"/>
    <w:rsid w:val="00CD60E1"/>
    <w:rsid w:val="00CE07DA"/>
    <w:rsid w:val="00CE3EE5"/>
    <w:rsid w:val="00CF1CE1"/>
    <w:rsid w:val="00CF7F94"/>
    <w:rsid w:val="00D00C3F"/>
    <w:rsid w:val="00D02144"/>
    <w:rsid w:val="00D1118B"/>
    <w:rsid w:val="00D11523"/>
    <w:rsid w:val="00D1453E"/>
    <w:rsid w:val="00D35B9C"/>
    <w:rsid w:val="00D4181D"/>
    <w:rsid w:val="00D426BD"/>
    <w:rsid w:val="00D43585"/>
    <w:rsid w:val="00D501A5"/>
    <w:rsid w:val="00D50D61"/>
    <w:rsid w:val="00D5208D"/>
    <w:rsid w:val="00D54FC7"/>
    <w:rsid w:val="00D635B9"/>
    <w:rsid w:val="00D65F26"/>
    <w:rsid w:val="00D747CE"/>
    <w:rsid w:val="00D850FC"/>
    <w:rsid w:val="00D858D7"/>
    <w:rsid w:val="00D93E9F"/>
    <w:rsid w:val="00D93EB1"/>
    <w:rsid w:val="00D9470C"/>
    <w:rsid w:val="00D953A7"/>
    <w:rsid w:val="00DA03D6"/>
    <w:rsid w:val="00DA0C9F"/>
    <w:rsid w:val="00DB2731"/>
    <w:rsid w:val="00DB3B64"/>
    <w:rsid w:val="00DC7DF0"/>
    <w:rsid w:val="00DD01DC"/>
    <w:rsid w:val="00DD421C"/>
    <w:rsid w:val="00DD51F2"/>
    <w:rsid w:val="00DE1F9D"/>
    <w:rsid w:val="00DF0B41"/>
    <w:rsid w:val="00DF0E96"/>
    <w:rsid w:val="00DF44A4"/>
    <w:rsid w:val="00E04959"/>
    <w:rsid w:val="00E06982"/>
    <w:rsid w:val="00E07FF1"/>
    <w:rsid w:val="00E12742"/>
    <w:rsid w:val="00E17497"/>
    <w:rsid w:val="00E21869"/>
    <w:rsid w:val="00E32BAA"/>
    <w:rsid w:val="00E35124"/>
    <w:rsid w:val="00E47EFF"/>
    <w:rsid w:val="00E53642"/>
    <w:rsid w:val="00E5450F"/>
    <w:rsid w:val="00E57D01"/>
    <w:rsid w:val="00E61D57"/>
    <w:rsid w:val="00E64907"/>
    <w:rsid w:val="00E739AD"/>
    <w:rsid w:val="00E74047"/>
    <w:rsid w:val="00E80576"/>
    <w:rsid w:val="00E81655"/>
    <w:rsid w:val="00E84DF8"/>
    <w:rsid w:val="00E85EAF"/>
    <w:rsid w:val="00E94256"/>
    <w:rsid w:val="00E942FD"/>
    <w:rsid w:val="00EA12B7"/>
    <w:rsid w:val="00EA1C69"/>
    <w:rsid w:val="00EA21CA"/>
    <w:rsid w:val="00EA292C"/>
    <w:rsid w:val="00EA43A6"/>
    <w:rsid w:val="00ED3E57"/>
    <w:rsid w:val="00EE034A"/>
    <w:rsid w:val="00EE4780"/>
    <w:rsid w:val="00EF0541"/>
    <w:rsid w:val="00EF0CE3"/>
    <w:rsid w:val="00EF0EEA"/>
    <w:rsid w:val="00EF3C29"/>
    <w:rsid w:val="00F00AC2"/>
    <w:rsid w:val="00F120CC"/>
    <w:rsid w:val="00F134D5"/>
    <w:rsid w:val="00F13A78"/>
    <w:rsid w:val="00F202DB"/>
    <w:rsid w:val="00F25C75"/>
    <w:rsid w:val="00F32A86"/>
    <w:rsid w:val="00F35CD9"/>
    <w:rsid w:val="00F368CB"/>
    <w:rsid w:val="00F51B1F"/>
    <w:rsid w:val="00F52CEB"/>
    <w:rsid w:val="00F5467B"/>
    <w:rsid w:val="00F563BE"/>
    <w:rsid w:val="00F60F37"/>
    <w:rsid w:val="00F630D2"/>
    <w:rsid w:val="00F64CA7"/>
    <w:rsid w:val="00F7105D"/>
    <w:rsid w:val="00F71E5E"/>
    <w:rsid w:val="00F720B9"/>
    <w:rsid w:val="00F81ACD"/>
    <w:rsid w:val="00F81CA6"/>
    <w:rsid w:val="00F92961"/>
    <w:rsid w:val="00FA0CEA"/>
    <w:rsid w:val="00FB276B"/>
    <w:rsid w:val="00FB2D45"/>
    <w:rsid w:val="00FB35F6"/>
    <w:rsid w:val="00FB5393"/>
    <w:rsid w:val="00FC0937"/>
    <w:rsid w:val="00FC10CD"/>
    <w:rsid w:val="00FC20E4"/>
    <w:rsid w:val="00FC469C"/>
    <w:rsid w:val="00FC551D"/>
    <w:rsid w:val="00FE21FC"/>
    <w:rsid w:val="00FE765A"/>
    <w:rsid w:val="00FF5471"/>
    <w:rsid w:val="00FF572F"/>
    <w:rsid w:val="00FF68AD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B51EDC"/>
  <w15:chartTrackingRefBased/>
  <w15:docId w15:val="{AC4C9416-732D-4987-A62C-A34C149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192"/>
    <w:rPr>
      <w:sz w:val="24"/>
      <w:szCs w:val="24"/>
    </w:rPr>
  </w:style>
  <w:style w:type="paragraph" w:styleId="Titolo1">
    <w:name w:val="heading 1"/>
    <w:basedOn w:val="LO-normal"/>
    <w:next w:val="LO-normal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LO-normal"/>
    <w:next w:val="LO-normal"/>
    <w:qFormat/>
    <w:pPr>
      <w:keepNext/>
      <w:outlineLvl w:val="1"/>
    </w:pPr>
    <w:rPr>
      <w:b/>
    </w:rPr>
  </w:style>
  <w:style w:type="paragraph" w:styleId="Titolo3">
    <w:name w:val="heading 3"/>
    <w:basedOn w:val="LO-normal"/>
    <w:next w:val="LO-normal"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LO-normal"/>
    <w:next w:val="LO-normal"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LO-normal"/>
    <w:next w:val="LO-normal"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LO-normal"/>
    <w:next w:val="LO-normal"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uppressAutoHyphens/>
      <w:spacing w:before="240" w:after="120"/>
      <w:jc w:val="both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Corpotesto">
    <w:name w:val="Body Text"/>
    <w:basedOn w:val="Normale"/>
    <w:pPr>
      <w:suppressAutoHyphens/>
      <w:spacing w:after="140" w:line="276" w:lineRule="auto"/>
      <w:jc w:val="both"/>
    </w:pPr>
    <w:rPr>
      <w:rFonts w:eastAsia="NSimSun" w:cs="Lucida Sans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uppressAutoHyphens/>
      <w:spacing w:before="120" w:after="120"/>
      <w:jc w:val="both"/>
    </w:pPr>
    <w:rPr>
      <w:rFonts w:eastAsia="NSimSun" w:cs="Lucida Sans"/>
      <w:i/>
      <w:iCs/>
      <w:lang w:eastAsia="zh-CN" w:bidi="hi-IN"/>
    </w:rPr>
  </w:style>
  <w:style w:type="paragraph" w:customStyle="1" w:styleId="Indice">
    <w:name w:val="Indice"/>
    <w:basedOn w:val="Normale"/>
    <w:pPr>
      <w:suppressLineNumbers/>
      <w:suppressAutoHyphens/>
      <w:jc w:val="both"/>
    </w:pPr>
    <w:rPr>
      <w:rFonts w:eastAsia="NSimSun" w:cs="Lucida Sans"/>
      <w:lang w:eastAsia="zh-CN" w:bidi="hi-IN"/>
    </w:rPr>
  </w:style>
  <w:style w:type="paragraph" w:customStyle="1" w:styleId="LO-normal">
    <w:name w:val="LO-normal"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styleId="Titolo">
    <w:name w:val="Title"/>
    <w:basedOn w:val="LO-normal"/>
    <w:next w:val="LO-normal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LO-normal"/>
    <w:next w:val="LO-normal"/>
    <w:qFormat/>
    <w:pPr>
      <w:jc w:val="center"/>
    </w:pPr>
    <w:rPr>
      <w:b/>
      <w:sz w:val="32"/>
      <w:szCs w:val="32"/>
    </w:rPr>
  </w:style>
  <w:style w:type="paragraph" w:customStyle="1" w:styleId="Intestazioneepidipagina">
    <w:name w:val="Intestazione e piè di pagina"/>
    <w:basedOn w:val="Normale"/>
    <w:pPr>
      <w:suppressAutoHyphens/>
      <w:jc w:val="both"/>
    </w:pPr>
    <w:rPr>
      <w:rFonts w:eastAsia="NSimSun" w:cs="Lucida Sans"/>
      <w:lang w:eastAsia="zh-CN" w:bidi="hi-IN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link w:val="PidipaginaCarattere"/>
    <w:uiPriority w:val="99"/>
  </w:style>
  <w:style w:type="paragraph" w:styleId="Revisione">
    <w:name w:val="Revision"/>
    <w:hidden/>
    <w:uiPriority w:val="99"/>
    <w:semiHidden/>
    <w:rsid w:val="00DA0C9F"/>
    <w:rPr>
      <w:rFonts w:eastAsia="NSimSun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86F"/>
    <w:pPr>
      <w:suppressAutoHyphens/>
      <w:jc w:val="both"/>
    </w:pPr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9E786F"/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766A11"/>
    <w:rPr>
      <w:rFonts w:eastAsia="NSimSun" w:cs="Lucida Sans"/>
      <w:sz w:val="24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192"/>
    <w:rPr>
      <w:color w:val="954F72"/>
      <w:u w:val="single"/>
    </w:rPr>
  </w:style>
  <w:style w:type="paragraph" w:customStyle="1" w:styleId="msonormal0">
    <w:name w:val="msonormal"/>
    <w:basedOn w:val="Normale"/>
    <w:rsid w:val="00163192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Normale"/>
    <w:rsid w:val="0016319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69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698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6987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E36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36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361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36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open.spotify.com/show/2yMgvH1iyiuHPNA1pFxZbI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open.spotify.com/show/2yMgvH1iyiuHPNA1pFxZb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intra.tagliacarne.it\dfs\IGTDFS\NewArch-IGT\Ricerca\Imprese_Giovanili_twt\Imp_giov_twt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intra.tagliacarne.it\dfs\IGTDFS\NewArch-IGT\Ricerca\Imprese_Giovanili_twt\Imp_giov_twt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tagliacarne.it\dfs\IGTDFS\NewArch-IGT\Ricerca\Imprese_Giovanili_twt\Imp_giov_tw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8401755744900593E-2"/>
          <c:y val="0.10984697620146933"/>
          <c:w val="0.94319648851019877"/>
          <c:h val="0.617057460224232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Grafici!$J$4</c:f>
              <c:strCache>
                <c:ptCount val="1"/>
                <c:pt idx="0">
                  <c:v>Imprese Giovanili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Grafici!$H$5:$H$6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Grafici!$J$5:$J$6</c:f>
              <c:numCache>
                <c:formatCode>0%</c:formatCode>
                <c:ptCount val="2"/>
                <c:pt idx="0">
                  <c:v>0.48664688427299702</c:v>
                </c:pt>
                <c:pt idx="1">
                  <c:v>0.43323442136498519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45-4CF2-B185-C3CF0CD099FC}"/>
            </c:ext>
          </c:extLst>
        </c:ser>
        <c:ser>
          <c:idx val="0"/>
          <c:order val="1"/>
          <c:tx>
            <c:strRef>
              <c:f>Grafici!$I$4</c:f>
              <c:strCache>
                <c:ptCount val="1"/>
                <c:pt idx="0">
                  <c:v>Imprese Non giovanili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Grafici!$H$5:$H$6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Grafici!$I$5:$I$6</c:f>
              <c:numCache>
                <c:formatCode>0%</c:formatCode>
                <c:ptCount val="2"/>
                <c:pt idx="0">
                  <c:v>0.41974102125580259</c:v>
                </c:pt>
                <c:pt idx="1">
                  <c:v>0.34058148057659421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45-4CF2-B185-C3CF0CD099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59129776"/>
        <c:axId val="1459121616"/>
      </c:barChart>
      <c:catAx>
        <c:axId val="145912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59121616"/>
        <c:crosses val="autoZero"/>
        <c:auto val="1"/>
        <c:lblAlgn val="ctr"/>
        <c:lblOffset val="100"/>
        <c:noMultiLvlLbl val="0"/>
      </c:catAx>
      <c:valAx>
        <c:axId val="1459121616"/>
        <c:scaling>
          <c:orientation val="minMax"/>
          <c:min val="0.25"/>
        </c:scaling>
        <c:delete val="1"/>
        <c:axPos val="l"/>
        <c:numFmt formatCode="0%" sourceLinked="1"/>
        <c:majorTickMark val="none"/>
        <c:minorTickMark val="none"/>
        <c:tickLblPos val="nextTo"/>
        <c:crossAx val="145912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it-IT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8401755744900593E-2"/>
          <c:y val="0.10984697620146933"/>
          <c:w val="0.94319648851019877"/>
          <c:h val="0.617057460224232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Grafici!$J$16</c:f>
              <c:strCache>
                <c:ptCount val="1"/>
                <c:pt idx="0">
                  <c:v>Imprese Giovanili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Grafici!$H$17:$H$18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Grafici!$J$17:$J$18</c:f>
              <c:numCache>
                <c:formatCode>0%</c:formatCode>
                <c:ptCount val="2"/>
                <c:pt idx="0">
                  <c:v>0.3056379821958457</c:v>
                </c:pt>
                <c:pt idx="1">
                  <c:v>0.2314540059347181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D-49C9-B946-5B13883D61F2}"/>
            </c:ext>
          </c:extLst>
        </c:ser>
        <c:ser>
          <c:idx val="0"/>
          <c:order val="1"/>
          <c:tx>
            <c:strRef>
              <c:f>Grafici!$I$16</c:f>
              <c:strCache>
                <c:ptCount val="1"/>
                <c:pt idx="0">
                  <c:v>Imprese Non giovanili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Grafici!$H$17:$H$18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Grafici!$I$17:$I$18</c:f>
              <c:numCache>
                <c:formatCode>0%</c:formatCode>
                <c:ptCount val="2"/>
                <c:pt idx="0">
                  <c:v>0.22795015880772049</c:v>
                </c:pt>
                <c:pt idx="1">
                  <c:v>0.18372831663816272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D-49C9-B946-5B13883D61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59129776"/>
        <c:axId val="1459121616"/>
      </c:barChart>
      <c:catAx>
        <c:axId val="145912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59121616"/>
        <c:crosses val="autoZero"/>
        <c:auto val="1"/>
        <c:lblAlgn val="ctr"/>
        <c:lblOffset val="100"/>
        <c:noMultiLvlLbl val="0"/>
      </c:catAx>
      <c:valAx>
        <c:axId val="1459121616"/>
        <c:scaling>
          <c:orientation val="minMax"/>
          <c:min val="0.12000000000000001"/>
        </c:scaling>
        <c:delete val="1"/>
        <c:axPos val="l"/>
        <c:numFmt formatCode="0%" sourceLinked="1"/>
        <c:majorTickMark val="out"/>
        <c:minorTickMark val="none"/>
        <c:tickLblPos val="nextTo"/>
        <c:crossAx val="145912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it-IT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401755744900593E-2"/>
          <c:y val="0.10984697620146933"/>
          <c:w val="0.94319648851019877"/>
          <c:h val="0.617057460224232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Grafici!$J$50</c:f>
              <c:strCache>
                <c:ptCount val="1"/>
                <c:pt idx="0">
                  <c:v>Imprese Giovanili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Grafici!$H$51:$H$52</c:f>
              <c:strCache>
                <c:ptCount val="2"/>
                <c:pt idx="0">
                  <c:v>Green</c:v>
                </c:pt>
                <c:pt idx="1">
                  <c:v>Digitale</c:v>
                </c:pt>
              </c:strCache>
            </c:strRef>
          </c:cat>
          <c:val>
            <c:numRef>
              <c:f>Grafici!$J$51:$J$52</c:f>
              <c:numCache>
                <c:formatCode>0%</c:formatCode>
                <c:ptCount val="2"/>
                <c:pt idx="0">
                  <c:v>0.52818991097922852</c:v>
                </c:pt>
                <c:pt idx="1">
                  <c:v>0.48367952522255192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9-4CE0-898B-5DB959DE4F23}"/>
            </c:ext>
          </c:extLst>
        </c:ser>
        <c:ser>
          <c:idx val="0"/>
          <c:order val="1"/>
          <c:tx>
            <c:strRef>
              <c:f>Grafici!$I$50</c:f>
              <c:strCache>
                <c:ptCount val="1"/>
                <c:pt idx="0">
                  <c:v>Imprese Non giovanili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Grafici!$H$51:$H$52</c:f>
              <c:strCache>
                <c:ptCount val="2"/>
                <c:pt idx="0">
                  <c:v>Green</c:v>
                </c:pt>
                <c:pt idx="1">
                  <c:v>Digitale</c:v>
                </c:pt>
              </c:strCache>
            </c:strRef>
          </c:cat>
          <c:val>
            <c:numRef>
              <c:f>Grafici!$I$51:$I$52</c:f>
              <c:numCache>
                <c:formatCode>0%</c:formatCode>
                <c:ptCount val="2"/>
                <c:pt idx="0">
                  <c:v>0.45443440019545567</c:v>
                </c:pt>
                <c:pt idx="1">
                  <c:v>0.40776936232592231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89-4CE0-898B-5DB959DE4F2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59129776"/>
        <c:axId val="1459121616"/>
      </c:barChart>
      <c:catAx>
        <c:axId val="145912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59121616"/>
        <c:crosses val="autoZero"/>
        <c:auto val="1"/>
        <c:lblAlgn val="ctr"/>
        <c:lblOffset val="100"/>
        <c:noMultiLvlLbl val="0"/>
      </c:catAx>
      <c:valAx>
        <c:axId val="1459121616"/>
        <c:scaling>
          <c:orientation val="minMax"/>
          <c:min val="0.35000000000000003"/>
        </c:scaling>
        <c:delete val="1"/>
        <c:axPos val="l"/>
        <c:numFmt formatCode="0%" sourceLinked="1"/>
        <c:majorTickMark val="out"/>
        <c:minorTickMark val="none"/>
        <c:tickLblPos val="nextTo"/>
        <c:crossAx val="145912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379D-394B-4BF2-922E-C367D62F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Links>
    <vt:vector size="72" baseType="variant">
      <vt:variant>
        <vt:i4>4784246</vt:i4>
      </vt:variant>
      <vt:variant>
        <vt:i4>26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4784246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8061025</vt:i4>
      </vt:variant>
      <vt:variant>
        <vt:i4>20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8061025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6553643</vt:i4>
      </vt:variant>
      <vt:variant>
        <vt:i4>14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7405607</vt:i4>
      </vt:variant>
      <vt:variant>
        <vt:i4>8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6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7358</vt:i4>
      </vt:variant>
      <vt:variant>
        <vt:i4>1025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7464</vt:i4>
      </vt:variant>
      <vt:variant>
        <vt:i4>1026</vt:i4>
      </vt:variant>
      <vt:variant>
        <vt:i4>4</vt:i4>
      </vt:variant>
      <vt:variant>
        <vt:lpwstr>https://twitter.com/IstTagliacarne</vt:lpwstr>
      </vt:variant>
      <vt:variant>
        <vt:lpwstr/>
      </vt:variant>
      <vt:variant>
        <vt:i4>8061025</vt:i4>
      </vt:variant>
      <vt:variant>
        <vt:i4>7617</vt:i4>
      </vt:variant>
      <vt:variant>
        <vt:i4>1027</vt:i4>
      </vt:variant>
      <vt:variant>
        <vt:i4>4</vt:i4>
      </vt:variant>
      <vt:variant>
        <vt:lpwstr>https://www.linkedin.com/company/centro-studi-tagliacarne/</vt:lpwstr>
      </vt:variant>
      <vt:variant>
        <vt:lpwstr/>
      </vt:variant>
      <vt:variant>
        <vt:i4>4784246</vt:i4>
      </vt:variant>
      <vt:variant>
        <vt:i4>7765</vt:i4>
      </vt:variant>
      <vt:variant>
        <vt:i4>1028</vt:i4>
      </vt:variant>
      <vt:variant>
        <vt:i4>4</vt:i4>
      </vt:variant>
      <vt:variant>
        <vt:lpwstr>https://www.youtube.com/channel/UC_MYlydaANwE5x-D5hzCLSQ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Capuozzo</dc:creator>
  <cp:keywords/>
  <cp:lastModifiedBy>Loredana Capuozzo</cp:lastModifiedBy>
  <cp:revision>5</cp:revision>
  <cp:lastPrinted>2023-08-28T08:40:00Z</cp:lastPrinted>
  <dcterms:created xsi:type="dcterms:W3CDTF">2023-07-25T15:26:00Z</dcterms:created>
  <dcterms:modified xsi:type="dcterms:W3CDTF">2023-08-28T08:49:00Z</dcterms:modified>
</cp:coreProperties>
</file>