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Arial" w:cs="Arial" w:eastAsia="Arial" w:hAnsi="Arial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u w:val="single"/>
          <w:rtl w:val="0"/>
        </w:rPr>
        <w:t xml:space="preserve">COMUNICATO STAMPA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NEL 2024 CRESCONO VALORE AGGIUNTO E OCCUPAZIONE NEL SISTEMA PRODUTTIVO CULTURALE E CREATIVO, RISPETTIVAMENTE 112,6 MILIARDI DI EURO (+2,1% RISPETTO AL 2023) E 1,5 MILIONI DI ADDETTI (+1,6% RISPETTO AL 2023)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Roma, 25 novembre 2025.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Cultura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bellezza in Italia sono tratti identitari radicati nella società e nell’economia. Da qui il titolo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rapporto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Io sono cultura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 grazie alla loro forte relazione con la manifattura hanno dato vita ad una delle più forti identità produttive del mondo, il made in Italy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Oggi le industrie culturali e creative sono tra i settori più strategici per facilitare la ripresa economica e sociale italiana; non solo perché i dati dell’ultimo decennio dimostrano che parliamo di una fonte significativa di posti di lavoro e ricchezza ma anche perché sono un motore di innovazione per l’intera economia e agiscono come un attivatore della crescita di altri settori, dal turismo a tutti i settori economici che beneficiano del processo di culturalizzazione dell’economia grazie anche all’azione degli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Embedded Creatives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ovvero i professionisti culturali e creativi che operano al di fuori dei settori che costituiscono il Core cultura. Bellezza e cultura sono parte del DNA italiano e sono alla base delle ricette made in Italy per uscire dalle crisi.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Io sono cultura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annualmente quantifica il peso della cultura e della creatività nell’economia nazionale. I numeri dimostrano che la cultura è uno dei motori della nostra economia; lo studio propone numeri e storie ed è realizzato grazie al contributo di molte personalità di punta nei diversi settori.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cultura per l’Italia è anche un formidabile attivatore di economia.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 filiera, in cui operano soggetti privati, pubblici e del terzo settore che, nel 2024 è cresciuto dal punto di vista del valore aggiunto (112,6 miliardi di euro, in aumento del +2,1% rispetto all’anno precedente e del +19,2% rispetto al 2021).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 filiera complessa e composita in cui si trovano ad operare quasi 289 mila imprese (in crescita del +1,8% rispetto al 2023) e più di 27.700 mila organizzazioni senza scopo di lucro che si occupano di cultura e creatività (il 7,6% del totale delle organizzazioni non-profit).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Ma il “peso” della cultura e della creatività nel nostro Paese è molto maggiore rispetto al valore aggiunto che deriva dalle sole attività che ne fanno parte. Cultura e creatività, in maniera diretta o indiretta, generano complessivamente un valore aggiunto per circa 302,9 miliardi di euro.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Continua anche nel 2024 la ripresa del Mezzogiorno che presenta tassi di crescita superiori alla media nazionale sia con riferimento al valore aggiunto (+4,2% rispetto ad una crescita media nazionale pari a +2,1%) che agli occupati (+2,9% anziché +1,6%). Spiccano, in particolare, gli incrementi della Calabria (valore aggiunto: +7,5%; occupazione: +4,7%) e della Sardegna (valore aggiunto: +7,5%; occupazione: +6,2%).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rapporto, arrivato alla quindicesima edizione, è realizzato da Fondazione Symbola, Unioncamere, Centro Studi delle Camere di Commercio Guglielmo Tagliacarne, Deloitte con la collaborazione dell’Istituto per il Credito Sportivo e Culturale, Fondazione Fitzcarraldo, Fornasetti e con il patrocinio del Ministero della Cultura. È stato presentato oggi da Ermete Realacci, presidente della Fondazione Symbola; Andrea Prete, presidente di Unioncamere; Alessandro Rinaldi, vicedirettore generale Centro Studi Guglielmo Tagliacarne; 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Sbarigia, presidente APA Associazione Produttori Audiovisivi.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“La forza della nostra economia e del made in Italy - dichiara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Ermete Realacci, Presidente della Fondazione Symbola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deve molto, in tutti i campi, 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L’Italia, forte di oltre un milione e mezzo di addetti culturali e creativi può offrire un contributo importante ad una transizione verde e digitale. Un’economia più a misura d’uomo e per questo più competitiva e più capace di futuro come sostiene il Manifesto di Assisi. Anche da questo deriva la forza del nostro export.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Come più volte sottolineato dal presidente della Repubblica Sergio Mattarella ‘la cultura non rappresenta un lusso superfluo, ma un autentico asset competitivo’”.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“La crescita del sistema culturale e creativo – dichiara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Andrea Prete, Presidente di Unioncamere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“Deloitte, con il proprio settore specialistico della revisione contabile – dichiara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Valeria Brambilla, Amministratore Delegato di Deloitte &amp; Touche S.p.A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  <w:rtl w:val="0"/>
        </w:rPr>
        <w:t xml:space="preserve">Fornasetti rinnova per il quindicesimo anno la sua partnership con Fondazione Symbola dando, ancora una volta, un volto alla copertina del suo rapporto annuale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highlight w:val="white"/>
          <w:rtl w:val="0"/>
        </w:rPr>
        <w:t xml:space="preserve"> Io sono Cultura.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  <w:rtl w:val="0"/>
        </w:rPr>
        <w:t xml:space="preserve"> Una scelta che va ben oltre la grafica e l’Art Direction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highlight w:val="white"/>
          <w:rtl w:val="0"/>
        </w:rPr>
        <w:t xml:space="preserve">Io sono Cultura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  <w:rtl w:val="0"/>
        </w:rPr>
        <w:t xml:space="preserve">, si riappropriano del giusto merito che spetta loro nel contesto sociale.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  <w:rtl w:val="0"/>
        </w:rPr>
        <w:t xml:space="preserve">Questa immagine ispira, infatti, un doppio richiamo: sia la differenza di contenuti dovuti ai nuovi linguaggi, nuove tecnologie, nuove generazioni e un insieme di diversità che convivono; sia il movimento della ruota e del movimento in avanti, da cui idea di ricambio e anche di velocità. In particolare, la velocità contraddistingue l’era in cui siamo immersi, guidati dai social e da contenuti sempre più rapidi (es. reels, TikTok, etc.): qualsiasi cosa può diventare virale in pochissimo tempo e con la stessa velocità consumarsi, per dare spazio ad altro.</w:t>
      </w:r>
    </w:p>
    <w:p w:rsidR="00000000" w:rsidDel="00000000" w:rsidP="00000000" w:rsidRDefault="00000000" w:rsidRPr="00000000" w14:paraId="0000001E">
      <w:pPr>
        <w:spacing w:after="0" w:befor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Io Sono Cultura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permette di analizzare l’evoluzione della filiera in termini di produzione di ricchezza e creazione di posti di lavoro. Negli ultimi anni, il settore culturale e creativo ha mostrato una ripresa significativa, con una crescita costante in termini di valore aggiunto e di occupazione. Tuttavia, l'andamento non è stato uniforme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settore che cresce di più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termini di ricchezza prodotta nel corso dell’ultimo anno è quello dei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Software e videogiochi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(+8,0%), seguito dalle attività di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Comunicazione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(+4,4%). Si tratta di settori che crescono anche da un punto di vista occupazionale, registrando in un solo anno un aumento dei lavoratori rispettivamente pari al +2,3% e +5,7%.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Performing arts e arti visive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hanno registrato una crescita del valore aggiunto del +2,2% nel 2024 e del +34,4% dal 2021, mentre l'occupazione è aumentata del +2,6% nell'ultimo anno e del +9,6% dal 2021. Anche il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Patrimonio storico e artistico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L’Audiovisivo e musica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ha evidenziato una crescita più contenuta, con un aumento del valore aggiunto del +0,5% nel 2024 e dal +7,2% dal 2021, mentre l'occupazione è cresciuta del +8,1% dal 2021 ma solo del +0,1% nell'ultimo anno, rilevando una sostanziale stabilità del settore.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settore dell'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Editoria e stampa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pur mantenendo un ruolo centrale nel panorama culturale, ha registrato una crescita più contenuta. Il valore aggiunto raggiunge gli 11 miliardi, in aumento del +6,2% dal 2021, ma con una flessione del -1,5% nell'ultimo anno. I lavoratori del settore sono 196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fisiche.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Non tutti i comparti hanno mostrato una dinamica positiva. Il settore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Architettura e design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C’è poi la componente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Embedded Creatives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composta da tutti i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professionisti culturali e creativi che operano al di fuori dei settori che costituiscono il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Core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cultura - designer, esperti di comunicazione, storyteller, curatori, art director, artisti, architetti che è strettamente connessa ai processi di culturalizzazione che hanno progressivamente interessato un numero crescente di settori economici: inizialmente quelli del manifatturiero avanzato e, più recentemente, in misura sempre maggiore, quelli dei servizi. Le attività svolte dagli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Embedded Creatives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Embedded Creatives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producono maggior ricchezza è quello degli “altri servizi alle imprese”: il 22 % del totale e, a conferma del ruolo strategico dei professionisti creativi per l’innovazione trasversale del settore, si segnala una loro crescita del +1,7% annua e del +6,8% nel triennio.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480" w:lineRule="auto"/>
        <w:rPr>
          <w:b w:val="1"/>
          <w:bCs w:val="1"/>
          <w:color w:val="ee0000"/>
          <w:sz w:val="24"/>
          <w:szCs w:val="24"/>
        </w:rPr>
      </w:pPr>
      <w:bookmarkStart w:colFirst="0" w:colLast="0" w:name="_heading=h.l5jrllxwt0k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Valore aggiunto del Sistema Produttivo Culturale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e Creativo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per regioni e macroaree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Anni 2023-2024 (valori assoluti e incidenze sul totale economia regionale e di macroarea)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tbl>
      <w:tblPr>
        <w:tblStyle w:val="Table1"/>
        <w:tblW w:w="9622.0" w:type="dxa"/>
        <w:jc w:val="left"/>
        <w:tblLayout w:type="fixed"/>
        <w:tblLook w:val="0400"/>
      </w:tblPr>
      <w:tblGrid>
        <w:gridCol w:w="2951"/>
        <w:gridCol w:w="1321"/>
        <w:gridCol w:w="1320"/>
        <w:gridCol w:w="1008"/>
        <w:gridCol w:w="1008"/>
        <w:gridCol w:w="1008"/>
        <w:gridCol w:w="1006"/>
        <w:tblGridChange w:id="0">
          <w:tblGrid>
            <w:gridCol w:w="2951"/>
            <w:gridCol w:w="1321"/>
            <w:gridCol w:w="1320"/>
            <w:gridCol w:w="1008"/>
            <w:gridCol w:w="1008"/>
            <w:gridCol w:w="1008"/>
            <w:gridCol w:w="1006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Valori assoluti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Pos.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Valore aggiunto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SPCC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2024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Incidenze % sul totale economia del territorio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Pos.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quota Valore aggiunto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SPCC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2024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2024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Piemonte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8.838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8.738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6,3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6,2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Valle d'Aosta/Vallée d'Aoste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173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180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3,4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Lombardia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32.118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33.137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7,2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7,3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Trentino-Alto Adige/Südtirol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2.523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2.507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4,9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4,8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Veneto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9.612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9.717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5,4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5,3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Friuli-Venezia Giulia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2.315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2.337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5,7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5,6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Liguria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1.942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1.972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3,7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Emilia-Romagna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9.276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9.300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5,3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5,3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Toscana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6.741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6.882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5,4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5,4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Umbria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1.023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1.049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4,4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4,4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Marche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2.254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2.271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5,1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5,1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Lazio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16.213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16.542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7,6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7,7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Abruzzo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1.291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1.314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3,6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13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Molise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214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216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20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Campania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6.980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7.358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6,0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6,1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Puglia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2.672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2.750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3,3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Basilicata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436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438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3,2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18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Calabria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1.111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1.195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3,3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17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Sicilia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3.431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3.501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3,5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Sardegna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1.075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1.156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2,9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19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NORD-OVEST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43.071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44.027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6,7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6,7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NORD-EST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23.726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23.860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5,3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5,3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CENTRO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26.230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26.745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6,5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6,5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MEZZOGIORNO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17.212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17.928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4,1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4,1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ITALIA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110.239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112.560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5,8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5,7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right"/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Fonte: Centro Studi Tagliacarne - Unioncamere, Fondazione Symbola, 2025</w:t>
      </w:r>
    </w:p>
    <w:p w:rsidR="00000000" w:rsidDel="00000000" w:rsidP="00000000" w:rsidRDefault="00000000" w:rsidRPr="00000000" w14:paraId="000000F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76" w:lineRule="auto"/>
        <w:rPr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Occupati del Sistema Produttivo Culturale e Creativo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 regioni e macroaree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Anno 2024 (valori assoluti e incidenze sul totale economia regionale e di macroarea)</w:t>
      </w:r>
    </w:p>
    <w:tbl>
      <w:tblPr>
        <w:tblStyle w:val="Table2"/>
        <w:tblW w:w="9622.000000000002" w:type="dxa"/>
        <w:jc w:val="left"/>
        <w:tblLayout w:type="fixed"/>
        <w:tblLook w:val="0400"/>
      </w:tblPr>
      <w:tblGrid>
        <w:gridCol w:w="3038"/>
        <w:gridCol w:w="1097"/>
        <w:gridCol w:w="1101"/>
        <w:gridCol w:w="1097"/>
        <w:gridCol w:w="1097"/>
        <w:gridCol w:w="1097"/>
        <w:gridCol w:w="1095"/>
        <w:tblGridChange w:id="0">
          <w:tblGrid>
            <w:gridCol w:w="3038"/>
            <w:gridCol w:w="1097"/>
            <w:gridCol w:w="1101"/>
            <w:gridCol w:w="1097"/>
            <w:gridCol w:w="1097"/>
            <w:gridCol w:w="1097"/>
            <w:gridCol w:w="109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Valori assoluti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Pos. 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occupati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SPCC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Incidenze % sul totale economia del territorio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Pos. 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quota occupati 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SPCC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2024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2024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Piemonte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121.615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120.063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Valle d'Aosta/Vallée d'Aoste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2.876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2.993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11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Lombardia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370.879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378.286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Trentino-Alto Adige/Südtirol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34.626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34.639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7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Veneto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144.300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147.583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Friuli-Venezia Giulia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31.641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32.088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8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Liguria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30.556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Emilia-Romagna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130.507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131.232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6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Toscana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103.704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104.994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Umbria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18.295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18.882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Marche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36.366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36.722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9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Lazio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205.795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209.367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Abruzzo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22.622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22.857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15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Molise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17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Campania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81.275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83.073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13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Puglia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52.092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53.296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18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Basilicata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7.964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8.029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Calabria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19.455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20.372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20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Sicilia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65.805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68.023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Sardegna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20.371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21.640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righ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19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NORD-OVEST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154.772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153.613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NORD-EST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341.074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345.542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CENTRO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364.161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369.966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MEZZOGIORNO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273.652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281.469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right"/>
              <w:rPr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ITALIA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1.504.538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1.528.877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right"/>
              <w:rPr>
                <w:b w:val="1"/>
                <w:bCs w:val="1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right"/>
              <w:rPr>
                <w:b w:val="1"/>
                <w:bCs w:val="1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spacing w:after="0" w:before="12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Fonte: Centro Studi Tagliacarne - Unioncamere, Fondazione Symbola, 2025</w:t>
      </w:r>
    </w:p>
    <w:p w:rsidR="00000000" w:rsidDel="00000000" w:rsidP="00000000" w:rsidRDefault="00000000" w:rsidRPr="00000000" w14:paraId="000001C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Rule="auto"/>
        <w:jc w:val="both"/>
        <w:rPr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Prime province per peso del valore aggiunto e dell’occupazione del Sistema Produttivo Culturale e Creativo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Anni 2024 (incidenze percentuali sul totale economia provinciale)</w:t>
      </w:r>
    </w:p>
    <w:p w:rsidR="00000000" w:rsidDel="00000000" w:rsidP="00000000" w:rsidRDefault="00000000" w:rsidRPr="00000000" w14:paraId="000001D7">
      <w:pPr>
        <w:spacing w:after="0" w:line="240" w:lineRule="auto"/>
        <w:rPr>
          <w:rFonts w:ascii="Calibri" w:cs="Calibri" w:eastAsia="Calibri" w:hAnsi="Calibri"/>
          <w:b w:val="1"/>
          <w:bCs w:val="1"/>
          <w:color w:val="c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8"/>
          <w:szCs w:val="28"/>
        </w:rPr>
        <w:drawing>
          <wp:inline distB="0" distT="0" distL="0" distR="0">
            <wp:extent cx="2624378" cy="3265045"/>
            <wp:effectExtent b="0" l="0" r="0" t="0"/>
            <wp:docPr descr="Immagine che contiene testo, schermata, Carattere, design&#10;&#10;Il contenuto generato dall'IA potrebbe non essere corretto." id="2075030144" name="image2.png"/>
            <a:graphic>
              <a:graphicData uri="http://schemas.openxmlformats.org/drawingml/2006/picture">
                <pic:pic>
                  <pic:nvPicPr>
                    <pic:cNvPr descr="Immagine che contiene testo, schermata, Carattere, design&#10;&#10;Il contenuto generato dall'IA potrebbe non essere corretto." id="0" name="image2.png"/>
                    <pic:cNvPicPr preferRelativeResize="0"/>
                  </pic:nvPicPr>
                  <pic:blipFill>
                    <a:blip r:embed="rId7"/>
                    <a:srcRect b="0" l="0" r="4762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4378" cy="3265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8"/>
          <w:szCs w:val="28"/>
        </w:rPr>
        <w:drawing>
          <wp:inline distB="0" distT="0" distL="0" distR="0">
            <wp:extent cx="2344513" cy="3219495"/>
            <wp:effectExtent b="0" l="0" r="0" t="0"/>
            <wp:docPr descr="Immagine che contiene testo, schermata&#10;&#10;Il contenuto generato dall'IA potrebbe non essere corretto." id="2075030146" name="image1.png"/>
            <a:graphic>
              <a:graphicData uri="http://schemas.openxmlformats.org/drawingml/2006/picture">
                <pic:pic>
                  <pic:nvPicPr>
                    <pic:cNvPr descr="Immagine che contiene testo, schermata&#10;&#10;Il contenuto generato dall'IA potrebbe non essere corretto." id="0" name="image1.png"/>
                    <pic:cNvPicPr preferRelativeResize="0"/>
                  </pic:nvPicPr>
                  <pic:blipFill>
                    <a:blip r:embed="rId8"/>
                    <a:srcRect b="0" l="0" r="4714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4513" cy="3219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before="12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Fonte: Centro Studi Tagliacarne - Unioncamere, Fondazione Symbola, 2025</w:t>
      </w:r>
    </w:p>
    <w:p w:rsidR="00000000" w:rsidDel="00000000" w:rsidP="00000000" w:rsidRDefault="00000000" w:rsidRPr="00000000" w14:paraId="000001D9">
      <w:pPr>
        <w:spacing w:after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before="36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before="36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before="36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Il rapporto completo si trova su www.symbola.net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13335</wp:posOffset>
          </wp:positionV>
          <wp:extent cx="6120130" cy="659130"/>
          <wp:effectExtent b="0" l="0" r="0" t="0"/>
          <wp:wrapNone/>
          <wp:docPr descr="Immagine che contiene testo, schermata, Carattere, linea&#10;&#10;Il contenuto generato dall'IA potrebbe non essere corretto." id="2075030145" name="image3.jpg"/>
          <a:graphic>
            <a:graphicData uri="http://schemas.openxmlformats.org/drawingml/2006/picture">
              <pic:pic>
                <pic:nvPicPr>
                  <pic:cNvPr descr="Immagine che contiene testo, schermata, Carattere, linea&#10;&#10;Il contenuto generato dall'IA potrebbe non essere corretto." id="0" name="image3.jpg"/>
                  <pic:cNvPicPr preferRelativeResize="0"/>
                </pic:nvPicPr>
                <pic:blipFill>
                  <a:blip r:embed="rId1"/>
                  <a:srcRect b="0" l="0" r="0" t="54232"/>
                  <a:stretch>
                    <a:fillRect/>
                  </a:stretch>
                </pic:blipFill>
                <pic:spPr>
                  <a:xfrm>
                    <a:off x="0" y="0"/>
                    <a:ext cx="6120130" cy="659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-201929</wp:posOffset>
          </wp:positionV>
          <wp:extent cx="6120130" cy="685800"/>
          <wp:effectExtent b="0" l="0" r="0" t="0"/>
          <wp:wrapNone/>
          <wp:docPr descr="Immagine che contiene testo, schermata, Carattere, linea&#10;&#10;Il contenuto generato dall'IA potrebbe non essere corretto." id="2075030143" name="image3.jpg"/>
          <a:graphic>
            <a:graphicData uri="http://schemas.openxmlformats.org/drawingml/2006/picture">
              <pic:pic>
                <pic:nvPicPr>
                  <pic:cNvPr descr="Immagine che contiene testo, schermata, Carattere, linea&#10;&#10;Il contenuto generato dall'IA potrebbe non essere corretto." id="0" name="image3.jpg"/>
                  <pic:cNvPicPr preferRelativeResize="0"/>
                </pic:nvPicPr>
                <pic:blipFill>
                  <a:blip r:embed="rId1"/>
                  <a:srcRect b="45107" l="0" r="0" t="7274"/>
                  <a:stretch>
                    <a:fillRect/>
                  </a:stretch>
                </pic:blipFill>
                <pic:spPr>
                  <a:xfrm>
                    <a:off x="0" y="0"/>
                    <a:ext cx="612013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 w:val="1"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E6BE8"/>
  </w:style>
  <w:style w:type="paragraph" w:styleId="Default" w:customStyle="1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cs="Apercu Pro" w:hAnsi="Apercu Pro"/>
      <w:color w:val="000000"/>
      <w:kern w:val="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A5120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40" w:lineRule="auto"/>
    </w:pPr>
    <w:rPr>
      <w:rFonts w:ascii="Calibri" w:cs="Arial Unicode MS" w:eastAsia="Arial Unicode MS" w:hAnsi="Calibri"/>
      <w:color w:val="000000"/>
      <w:sz w:val="20"/>
      <w:szCs w:val="20"/>
      <w:u w:color="000000"/>
      <w:bdr w:space="0" w:sz="0" w:val="nil"/>
      <w:lang w:eastAsia="it-IT"/>
      <w14:textOutline w14:cap="flat" w14:cmpd="sng" w14:algn="ctr">
        <w14:noFill/>
        <w14:prstDash w14:val="solid"/>
        <w14:bevel/>
      </w14:textOutline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A5120E"/>
    <w:rPr>
      <w:rFonts w:ascii="Calibri" w:cs="Arial Unicode MS" w:eastAsia="Arial Unicode MS" w:hAnsi="Calibri"/>
      <w:color w:val="000000"/>
      <w:kern w:val="0"/>
      <w:sz w:val="20"/>
      <w:szCs w:val="20"/>
      <w:u w:color="000000"/>
      <w:bdr w:space="0" w:sz="0" w:val="nil"/>
      <w:lang w:eastAsia="it-IT"/>
      <w14:textOutline w14:cap="flat" w14:cmpd="sng" w14:algn="ctr">
        <w14:noFill/>
        <w14:prstDash w14:val="solid"/>
        <w14:bevel/>
      </w14:textOutline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A5120E"/>
    <w:rPr>
      <w:sz w:val="16"/>
      <w:szCs w:val="16"/>
    </w:rPr>
  </w:style>
  <w:style w:type="paragraph" w:styleId="Revisione">
    <w:name w:val="Revision"/>
    <w:hidden w:val="1"/>
    <w:uiPriority w:val="99"/>
    <w:semiHidden w:val="1"/>
    <w:rsid w:val="00A5120E"/>
    <w:pPr>
      <w:spacing w:after="0" w:line="240" w:lineRule="auto"/>
    </w:pPr>
    <w:rPr>
      <w:kern w:val="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8E03D3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asciiTheme="minorHAnsi" w:cstheme="minorBidi" w:eastAsiaTheme="minorHAnsi" w:hAnsiTheme="minorHAnsi"/>
      <w:b w:val="1"/>
      <w:bCs w:val="1"/>
      <w:color w:val="auto"/>
      <w:bdr w:color="auto" w:space="0" w:sz="0" w:val="none"/>
      <w:lang w:eastAsia="en-US"/>
      <w14:textOutline w14:cap="rnd" w14:cmpd="sng" w14:algn="ctr">
        <w14:noFill/>
        <w14:prstDash w14:val="solid"/>
        <w14:bevel/>
      </w14:textOutline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8E03D3"/>
    <w:rPr>
      <w:rFonts w:ascii="Calibri" w:cs="Arial Unicode MS" w:eastAsia="Arial Unicode MS" w:hAnsi="Calibri"/>
      <w:b w:val="1"/>
      <w:bCs w:val="1"/>
      <w:color w:val="000000"/>
      <w:kern w:val="0"/>
      <w:sz w:val="20"/>
      <w:szCs w:val="20"/>
      <w:u w:color="000000"/>
      <w:bdr w:space="0" w:sz="0" w:val="nil"/>
      <w:lang w:eastAsia="it-IT"/>
      <w14:textOutline w14:cap="flat" w14:cmpd="sng" w14:algn="ctr">
        <w14:noFill/>
        <w14:prstDash w14:val="solid"/>
        <w14:bevel/>
      </w14:textOutline>
    </w:rPr>
  </w:style>
  <w:style w:type="character" w:styleId="Nessuno" w:customStyle="1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 w:val="1"/>
    <w:qFormat w:val="1"/>
    <w:rsid w:val="00446C78"/>
    <w:pPr>
      <w:spacing w:after="0" w:line="240" w:lineRule="auto"/>
    </w:pPr>
    <w:rPr>
      <w:rFonts w:ascii="Calibri" w:cs="Calibri" w:hAnsi="Calibri"/>
      <w:sz w:val="20"/>
      <w:szCs w:val="20"/>
    </w:rPr>
  </w:style>
  <w:style w:type="character" w:styleId="TestonotaapidipaginaCarattere" w:customStyle="1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cs="Calibri" w:hAnsi="Calibri"/>
      <w:kern w:val="0"/>
      <w:sz w:val="20"/>
      <w:szCs w:val="20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 w:val="1"/>
    <w:rsid w:val="00446C78"/>
    <w:rPr>
      <w:vertAlign w:val="superscript"/>
    </w:rPr>
  </w:style>
  <w:style w:type="character" w:styleId="cf01" w:customStyle="1">
    <w:name w:val="cf01"/>
    <w:basedOn w:val="Carpredefinitoparagrafo"/>
    <w:rsid w:val="0080438C"/>
    <w:rPr>
      <w:rFonts w:ascii="Segoe UI" w:cs="Segoe UI" w:hAnsi="Segoe UI" w:hint="default"/>
      <w:sz w:val="18"/>
      <w:szCs w:val="18"/>
    </w:rPr>
  </w:style>
  <w:style w:type="character" w:styleId="cf11" w:customStyle="1">
    <w:name w:val="cf11"/>
    <w:basedOn w:val="Carpredefinitoparagrafo"/>
    <w:rsid w:val="0080438C"/>
    <w:rPr>
      <w:rFonts w:ascii="Segoe UI" w:cs="Segoe UI" w:hAnsi="Segoe UI" w:hint="default"/>
      <w:i w:val="1"/>
      <w:iCs w:val="1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5+SnJ1UNqBF2CN8s01lzg0vsFA==">CgMxLjAyDmgubDVqcmxseHd0MGtzOAByITFwYmtOTkN0XzE2SXFOY1ZiZHFMSTgxMlVHTGQtb2JpeQ==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2025-11-21T10:16:00Z</dcterms:created>
  <dc:creator>Viviana Forcella</dc:creator>
</cp:coreProperties>
</file>